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B7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E18">
        <w:rPr>
          <w:rFonts w:ascii="Times New Roman" w:hAnsi="Times New Roman"/>
          <w:b/>
          <w:sz w:val="28"/>
          <w:szCs w:val="28"/>
          <w:lang w:val="uk-UA"/>
        </w:rPr>
        <w:t>Перелік питань до змістового модулю №1</w:t>
      </w:r>
    </w:p>
    <w:p w:rsidR="00C729B7" w:rsidRPr="009A6E18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Історія виникнення нутриціології.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 «здоров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6EDC">
        <w:rPr>
          <w:rFonts w:ascii="Times New Roman" w:hAnsi="Times New Roman"/>
          <w:sz w:val="28"/>
          <w:szCs w:val="28"/>
          <w:lang w:val="uk-UA"/>
        </w:rPr>
        <w:t>я» згідно визначення ВООЗ.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Нутриціологія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предмет, об’єкт, мета та задачі нутриціології.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Основні термінам і поняттям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нутриціології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макронутриєнти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мікронутриєнти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есенціальні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речовини»,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нутрицевтики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«пара фармацевтики»,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еубіотики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ксенобіотики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», «харчовий продукт», «харчування», «режим харчування», «збалансоване харчування», «повноцінне харчування», «енергетична цінність харчових продуктів», «дієта», «дієтична добавка», «функціональний харчовий продукт», «харчові добавки», «продукти загального призначення», «продукти спеціального призначення».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1D6EDC">
        <w:rPr>
          <w:rFonts w:ascii="Times New Roman" w:hAnsi="Times New Roman"/>
          <w:sz w:val="28"/>
          <w:szCs w:val="28"/>
          <w:lang w:val="uk-UA"/>
        </w:rPr>
        <w:t>. Функції та медико-біологічний вплив їжі на організм людини.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Харчування. Правила здорового харчування на кожен день. Принципи та закони раціонального харчування. Правила прийому їжі. Піраміда здорового харчування. 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Макронутрієнти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Приклади.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Білки. Класифікація білків. Добова потреба у білках. Енергетич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D6EDC">
        <w:rPr>
          <w:rFonts w:ascii="Times New Roman" w:hAnsi="Times New Roman"/>
          <w:sz w:val="28"/>
          <w:szCs w:val="28"/>
          <w:lang w:val="uk-UA"/>
        </w:rPr>
        <w:t>а 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D6EDC">
        <w:rPr>
          <w:rFonts w:ascii="Times New Roman" w:hAnsi="Times New Roman"/>
          <w:sz w:val="28"/>
          <w:szCs w:val="28"/>
          <w:lang w:val="uk-UA"/>
        </w:rPr>
        <w:t>нність білків.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Незамінні амінокислоти. Фактори, від яких залежить вживання незамінних амінокислот. Стани, до виникнення яких призводить нестача незамінних амінокислот в організмі людини.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Замінні амінокислоти.</w:t>
      </w:r>
      <w:r>
        <w:rPr>
          <w:rFonts w:ascii="Times New Roman" w:hAnsi="Times New Roman"/>
          <w:sz w:val="28"/>
          <w:szCs w:val="28"/>
          <w:lang w:val="uk-UA"/>
        </w:rPr>
        <w:t xml:space="preserve"> Приклади.</w:t>
      </w:r>
    </w:p>
    <w:p w:rsidR="00C729B7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Жири. Будова жирів. Функції жирів в організмі людини. Симптоми, які вказують на недостатність жирів в організмі. ω-3 і ω-6 жирні кислоти.</w:t>
      </w:r>
    </w:p>
    <w:p w:rsidR="00C729B7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/>
        </w:rPr>
        <w:t>Вуглеводи. Функції вуглеводів в організмі людини. Добова норма споживання вуглеводів. Харчові продукти, які є джерелами різних вуглеводів. Стани здоров’я, при яких показано підвищене та знижене споживання клітковини.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Вода. Функції води в організмі людини. Фізіологічна потреба організму у воді при нормальних умовах і при зміні умов. Основні депо в організмі людини, де накопичується вода. Системи та органи, дією яких регулюється підтримка водного балансу в організмі людини Симптоми, які характеризують надлишок та недостатність води в організмі людини. Класифікація питних вод.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Харчові пристрасті. Приклади.</w:t>
      </w:r>
    </w:p>
    <w:p w:rsidR="00C729B7" w:rsidRPr="009A0C1D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lastRenderedPageBreak/>
        <w:t>Мікронутрієнти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 xml:space="preserve">. Приклади. Харчові джерела основних </w:t>
      </w:r>
      <w:proofErr w:type="spellStart"/>
      <w:r w:rsidRPr="009A0C1D">
        <w:rPr>
          <w:rFonts w:ascii="Times New Roman" w:hAnsi="Times New Roman"/>
          <w:sz w:val="28"/>
          <w:szCs w:val="28"/>
          <w:lang w:val="uk-UA" w:eastAsia="ru-RU"/>
        </w:rPr>
        <w:t>мікронутрієнтів</w:t>
      </w:r>
      <w:proofErr w:type="spellEnd"/>
      <w:r w:rsidRPr="009A0C1D">
        <w:rPr>
          <w:rFonts w:ascii="Times New Roman" w:hAnsi="Times New Roman"/>
          <w:sz w:val="28"/>
          <w:szCs w:val="28"/>
          <w:lang w:val="uk-UA" w:eastAsia="ru-RU"/>
        </w:rPr>
        <w:t>. Добова потреба в них.</w:t>
      </w:r>
    </w:p>
    <w:p w:rsidR="00C729B7" w:rsidRPr="009A0C1D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A0C1D">
        <w:rPr>
          <w:rFonts w:ascii="Times New Roman" w:hAnsi="Times New Roman"/>
          <w:sz w:val="28"/>
          <w:szCs w:val="28"/>
          <w:lang w:val="uk-UA" w:eastAsia="ru-RU"/>
        </w:rPr>
        <w:t>Вітаміни. Біологічна активність вітамінів в організмі людини. Стани, до виникнення яких призводить недостатність та на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9A0C1D">
        <w:rPr>
          <w:rFonts w:ascii="Times New Roman" w:hAnsi="Times New Roman"/>
          <w:sz w:val="28"/>
          <w:szCs w:val="28"/>
          <w:lang w:val="uk-UA" w:eastAsia="ru-RU"/>
        </w:rPr>
        <w:t>лишок вітамінів в організмі людини.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мікроелементи. Функції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 </w:t>
      </w: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>тани, до виникнення яких призводить недостатність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надлишок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Вегетаріанство. Види вегетаріанства: дозволені та заборонені продукти харчування.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Сироїдіння. Види сироїдіння.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Характеристика харчування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макробіотиків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: особливості, дозволені та заборонені продукти харчування.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Особливості харчування у системі йогів.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Роздільне харчування: основні положення, підходи до поєднання продуктів.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Голодування: види, причини.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Характеристика харчування у релігійних практиках (християнство, іслам, юдаїзм, індуїзм, буддизм).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Поняття: дієтична добавка, харчовий продукт для спеціального дієтичного споживання (використання), функціональний харчовий продукт.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Нормативно-правові акти, які регламентують якість дієтичних добавок, харч</w:t>
      </w:r>
      <w:bookmarkStart w:id="0" w:name="_GoBack"/>
      <w:bookmarkEnd w:id="0"/>
      <w:r w:rsidRPr="001D6EDC">
        <w:rPr>
          <w:rFonts w:ascii="Times New Roman" w:hAnsi="Times New Roman"/>
          <w:sz w:val="28"/>
          <w:szCs w:val="28"/>
          <w:lang w:val="uk-UA"/>
        </w:rPr>
        <w:t>ових продуктів для спеціального дієтичного споживання та функціональних харчових продуктів.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Класифікація дієтичних добавок згідно з ДФУ. Особливості їх використання. Відмінності від лікарського препарату, харчового продукту для спеціального дієтичного споживання та функціонального харчового продукту.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 xml:space="preserve">Поняття: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пробіотик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пребіотик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синбіотик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1D6EDC">
        <w:rPr>
          <w:rFonts w:ascii="Times New Roman" w:hAnsi="Times New Roman"/>
          <w:sz w:val="28"/>
          <w:szCs w:val="28"/>
          <w:lang w:val="uk-UA"/>
        </w:rPr>
        <w:t>метабіотик</w:t>
      </w:r>
      <w:proofErr w:type="spellEnd"/>
      <w:r w:rsidRPr="001D6EDC">
        <w:rPr>
          <w:rFonts w:ascii="Times New Roman" w:hAnsi="Times New Roman"/>
          <w:sz w:val="28"/>
          <w:szCs w:val="28"/>
          <w:lang w:val="uk-UA"/>
        </w:rPr>
        <w:t>. Особливості їх складу.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Харчовий продукт для спеціального дієтичного споживання: приклади, особливості застосування.</w:t>
      </w:r>
    </w:p>
    <w:p w:rsidR="00C729B7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6EDC">
        <w:rPr>
          <w:rFonts w:ascii="Times New Roman" w:hAnsi="Times New Roman"/>
          <w:sz w:val="28"/>
          <w:szCs w:val="28"/>
          <w:lang w:val="uk-UA"/>
        </w:rPr>
        <w:t>Функціональний харчовий продукт: приклади, особливості застосування.</w:t>
      </w:r>
    </w:p>
    <w:p w:rsidR="00C729B7" w:rsidRPr="001D6EDC" w:rsidRDefault="00C729B7" w:rsidP="00C729B7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Добовий раціон харчування. Харчовий статус. Методи визначення харчового статусу.</w:t>
      </w:r>
    </w:p>
    <w:p w:rsidR="00222B2D" w:rsidRDefault="00222B2D"/>
    <w:sectPr w:rsidR="00222B2D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6A4"/>
    <w:rsid w:val="00084CA0"/>
    <w:rsid w:val="00222B2D"/>
    <w:rsid w:val="007A1ABC"/>
    <w:rsid w:val="009676A4"/>
    <w:rsid w:val="00C7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>Национальный Фарм. Университет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2020-03-13T21:15:00Z</dcterms:created>
  <dcterms:modified xsi:type="dcterms:W3CDTF">2020-03-13T21:15:00Z</dcterms:modified>
</cp:coreProperties>
</file>