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672114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3 курсу </w:t>
      </w:r>
      <w:r w:rsidRPr="00672114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672114">
        <w:rPr>
          <w:b w:val="0"/>
          <w:szCs w:val="28"/>
          <w:lang w:val="uk-UA"/>
        </w:rPr>
        <w:t>спец</w:t>
      </w:r>
      <w:proofErr w:type="gramEnd"/>
      <w:r w:rsidRPr="00672114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672114">
        <w:rPr>
          <w:b w:val="0"/>
          <w:szCs w:val="28"/>
          <w:lang w:val="uk-UA"/>
        </w:rPr>
        <w:t>освітня програма «Фармація»</w:t>
      </w:r>
      <w:r w:rsidRPr="00672114">
        <w:rPr>
          <w:szCs w:val="28"/>
        </w:rPr>
        <w:t xml:space="preserve"> </w:t>
      </w:r>
      <w:r w:rsidRPr="00672114">
        <w:rPr>
          <w:b w:val="0"/>
          <w:szCs w:val="28"/>
          <w:lang w:val="uk-UA"/>
        </w:rPr>
        <w:t>Фс17(5,0д) 7-12 групи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76071E" w:rsidRDefault="004C4841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="00791AB1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.04</w:t>
      </w:r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7, 8</w:t>
      </w:r>
    </w:p>
    <w:p w:rsidR="009862F0" w:rsidRPr="0076071E" w:rsidRDefault="004C4841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9</w:t>
      </w:r>
      <w:r w:rsidR="00791AB1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.04</w:t>
      </w:r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9, 10</w:t>
      </w:r>
    </w:p>
    <w:p w:rsidR="009862F0" w:rsidRPr="0076071E" w:rsidRDefault="004C4841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10</w:t>
      </w:r>
      <w:r w:rsidR="00791AB1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.04</w:t>
      </w:r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7607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11, 12</w:t>
      </w:r>
    </w:p>
    <w:p w:rsidR="00672114" w:rsidRDefault="00672114" w:rsidP="004C4841">
      <w:pPr>
        <w:ind w:left="3906" w:hanging="39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="004C4841" w:rsidRPr="004C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Хімічний і </w:t>
      </w:r>
      <w:proofErr w:type="spellStart"/>
      <w:r w:rsidR="004C4841" w:rsidRPr="004C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морфолого-анатомічний</w:t>
      </w:r>
      <w:proofErr w:type="spellEnd"/>
      <w:r w:rsidR="004C4841" w:rsidRPr="004C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аналіз ЛРС, яка містить справжні алкалоїди</w:t>
      </w:r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841" w:rsidRPr="004C4841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Pr="004C4841">
        <w:rPr>
          <w:rFonts w:ascii="Times New Roman" w:hAnsi="Times New Roman" w:cs="Times New Roman"/>
          <w:sz w:val="28"/>
          <w:szCs w:val="28"/>
        </w:rPr>
        <w:t>Знати</w:t>
      </w:r>
      <w:r w:rsidR="00791AB1" w:rsidRPr="004C4841">
        <w:rPr>
          <w:rFonts w:ascii="Times New Roman" w:hAnsi="Times New Roman" w:cs="Times New Roman"/>
          <w:sz w:val="28"/>
          <w:szCs w:val="28"/>
        </w:rPr>
        <w:t xml:space="preserve"> </w:t>
      </w:r>
      <w:r w:rsidR="004C4841">
        <w:rPr>
          <w:rFonts w:ascii="Times New Roman" w:hAnsi="Times New Roman" w:cs="Times New Roman"/>
          <w:sz w:val="28"/>
          <w:szCs w:val="28"/>
        </w:rPr>
        <w:t xml:space="preserve">ЛРС, ЛР та родину, що містить справжні (істинні) алкалоїди; їх </w:t>
      </w:r>
      <w:proofErr w:type="spellStart"/>
      <w:r w:rsidR="004C4841">
        <w:rPr>
          <w:rFonts w:ascii="Times New Roman" w:hAnsi="Times New Roman" w:cs="Times New Roman"/>
          <w:sz w:val="28"/>
          <w:szCs w:val="28"/>
        </w:rPr>
        <w:t>морфолого-анатомічні</w:t>
      </w:r>
      <w:proofErr w:type="spellEnd"/>
      <w:r w:rsidR="004C4841">
        <w:rPr>
          <w:rFonts w:ascii="Times New Roman" w:hAnsi="Times New Roman" w:cs="Times New Roman"/>
          <w:sz w:val="28"/>
          <w:szCs w:val="28"/>
        </w:rPr>
        <w:t xml:space="preserve"> особливості; можливі домішки. </w:t>
      </w:r>
      <w:r w:rsidR="004C4841" w:rsidRPr="004C4841">
        <w:rPr>
          <w:rFonts w:ascii="Times New Roman" w:hAnsi="Times New Roman" w:cs="Times New Roman"/>
          <w:color w:val="FF0000"/>
          <w:sz w:val="28"/>
          <w:szCs w:val="28"/>
        </w:rPr>
        <w:t xml:space="preserve">Звернути увагу </w:t>
      </w:r>
      <w:r w:rsidR="004C4841">
        <w:rPr>
          <w:rFonts w:ascii="Times New Roman" w:hAnsi="Times New Roman" w:cs="Times New Roman"/>
          <w:sz w:val="28"/>
          <w:szCs w:val="28"/>
        </w:rPr>
        <w:t>на те</w:t>
      </w:r>
      <w:r w:rsidR="004C4841" w:rsidRPr="004C4841">
        <w:rPr>
          <w:rFonts w:ascii="Times New Roman" w:hAnsi="Times New Roman" w:cs="Times New Roman"/>
          <w:sz w:val="28"/>
          <w:szCs w:val="28"/>
        </w:rPr>
        <w:t>,</w:t>
      </w:r>
      <w:r w:rsidR="004C48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4841" w:rsidRPr="004C4841">
        <w:rPr>
          <w:rFonts w:ascii="Times New Roman" w:hAnsi="Times New Roman" w:cs="Times New Roman"/>
          <w:sz w:val="28"/>
          <w:szCs w:val="28"/>
        </w:rPr>
        <w:t>що пуринові алкалоїди за різними класифікаціями можуть бути віднесені до</w:t>
      </w:r>
      <w:r w:rsidR="004C4841">
        <w:rPr>
          <w:rFonts w:ascii="Times New Roman" w:hAnsi="Times New Roman" w:cs="Times New Roman"/>
          <w:sz w:val="28"/>
          <w:szCs w:val="28"/>
        </w:rPr>
        <w:t xml:space="preserve"> справжніх</w:t>
      </w:r>
      <w:r w:rsidR="004C4841" w:rsidRPr="004C4841">
        <w:rPr>
          <w:rFonts w:ascii="Times New Roman" w:hAnsi="Times New Roman" w:cs="Times New Roman"/>
          <w:sz w:val="28"/>
          <w:szCs w:val="28"/>
        </w:rPr>
        <w:t xml:space="preserve"> алкалоїдів або до </w:t>
      </w:r>
      <w:proofErr w:type="spellStart"/>
      <w:r w:rsidR="004C4841" w:rsidRPr="004C4841">
        <w:rPr>
          <w:rFonts w:ascii="Times New Roman" w:hAnsi="Times New Roman" w:cs="Times New Roman"/>
          <w:sz w:val="28"/>
          <w:szCs w:val="28"/>
        </w:rPr>
        <w:t>псевдоалкалоїдів</w:t>
      </w:r>
      <w:proofErr w:type="spellEnd"/>
      <w:r w:rsidR="004C4841" w:rsidRPr="004C4841">
        <w:rPr>
          <w:rFonts w:ascii="Times New Roman" w:hAnsi="Times New Roman" w:cs="Times New Roman"/>
          <w:sz w:val="28"/>
          <w:szCs w:val="28"/>
        </w:rPr>
        <w:t>.</w:t>
      </w:r>
    </w:p>
    <w:p w:rsidR="00A952D8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C4841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4C4841">
        <w:rPr>
          <w:rFonts w:ascii="Times New Roman" w:hAnsi="Times New Roman" w:cs="Times New Roman"/>
          <w:sz w:val="28"/>
          <w:szCs w:val="28"/>
        </w:rPr>
        <w:t>:</w:t>
      </w:r>
      <w:r w:rsidR="00502B5D" w:rsidRPr="004C4841">
        <w:rPr>
          <w:rFonts w:ascii="Times New Roman" w:hAnsi="Times New Roman" w:cs="Times New Roman"/>
          <w:sz w:val="28"/>
          <w:szCs w:val="28"/>
        </w:rPr>
        <w:t xml:space="preserve"> </w:t>
      </w:r>
      <w:r w:rsidR="00A952D8">
        <w:rPr>
          <w:rFonts w:ascii="Times New Roman" w:hAnsi="Times New Roman" w:cs="Times New Roman"/>
          <w:sz w:val="28"/>
          <w:szCs w:val="28"/>
        </w:rPr>
        <w:t>Достатньо велика кількість рослин, які притаманні флорі України, використовуються як в традиційній, так і в науковій медицині для лікування багатьох захворювань. Крім того, в медичній практиці використовуються також індивідуальні сполуки, які відносяться до справжніх</w:t>
      </w:r>
      <w:r w:rsidR="00A952D8" w:rsidRPr="00A952D8">
        <w:rPr>
          <w:rFonts w:ascii="Times New Roman" w:hAnsi="Times New Roman" w:cs="Times New Roman"/>
          <w:sz w:val="28"/>
          <w:szCs w:val="28"/>
        </w:rPr>
        <w:t xml:space="preserve"> </w:t>
      </w:r>
      <w:r w:rsidR="00A952D8">
        <w:rPr>
          <w:rFonts w:ascii="Times New Roman" w:hAnsi="Times New Roman" w:cs="Times New Roman"/>
          <w:sz w:val="28"/>
          <w:szCs w:val="28"/>
        </w:rPr>
        <w:t xml:space="preserve">алкалоїдів. </w:t>
      </w: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4C4841">
        <w:rPr>
          <w:rFonts w:ascii="Times New Roman" w:hAnsi="Times New Roman" w:cs="Times New Roman"/>
          <w:b/>
          <w:sz w:val="28"/>
          <w:szCs w:val="28"/>
        </w:rPr>
        <w:t xml:space="preserve"> 598-649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51" w:rsidRP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sz w:val="28"/>
          <w:szCs w:val="28"/>
        </w:rPr>
        <w:t xml:space="preserve">–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4C4841">
        <w:rPr>
          <w:rFonts w:ascii="Times New Roman" w:hAnsi="Times New Roman" w:cs="Times New Roman"/>
          <w:b/>
          <w:sz w:val="28"/>
          <w:szCs w:val="28"/>
        </w:rPr>
        <w:t xml:space="preserve"> 351-37</w:t>
      </w:r>
      <w:r w:rsidR="00791AB1">
        <w:rPr>
          <w:rFonts w:ascii="Times New Roman" w:hAnsi="Times New Roman" w:cs="Times New Roman"/>
          <w:b/>
          <w:sz w:val="28"/>
          <w:szCs w:val="28"/>
        </w:rPr>
        <w:t>8</w:t>
      </w:r>
    </w:p>
    <w:p w:rsidR="008F2571" w:rsidRPr="003E508F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8F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3E5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683D" w:rsidRDefault="003E508F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Перерахуйте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 та ЛРС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Кутрові</w:t>
      </w:r>
      <w:proofErr w:type="spellEnd"/>
      <w:r w:rsidR="00E4683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4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08F" w:rsidRDefault="003E508F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Перерахуйте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 та ЛРС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Перерахуйте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 та ЛРС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Пасльонові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E508F" w:rsidRDefault="002A6956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Вкажіть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анатомічні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діагностичні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блекоти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дурману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звичайного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беладонни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звичайної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одного.</w:t>
      </w:r>
    </w:p>
    <w:p w:rsidR="002A6956" w:rsidRDefault="002A6956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тропанові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ізохінолі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індольні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пуринові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іролізидинові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іридин-піперидинові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хінолі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508F" w:rsidRPr="002A6956" w:rsidRDefault="002A6956" w:rsidP="0067211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хінолізидинові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4B147F">
        <w:rPr>
          <w:rFonts w:ascii="Times New Roman" w:hAnsi="Times New Roman" w:cs="Times New Roman"/>
          <w:sz w:val="28"/>
          <w:szCs w:val="28"/>
        </w:rPr>
        <w:t>:</w:t>
      </w:r>
    </w:p>
    <w:p w:rsidR="004B147F" w:rsidRPr="000B297E" w:rsidRDefault="00F768A0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беладонни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діагностичною анатомічною ознакою є наявність</w:t>
      </w:r>
      <w:r w:rsidR="000B297E" w:rsidRPr="000B297E">
        <w:rPr>
          <w:rFonts w:ascii="Times New Roman" w:hAnsi="Times New Roman" w:cs="Times New Roman"/>
          <w:sz w:val="28"/>
          <w:szCs w:val="28"/>
        </w:rPr>
        <w:t>:</w:t>
      </w:r>
    </w:p>
    <w:p w:rsidR="000B297E" w:rsidRDefault="00F768A0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кальцію оксалату</w:t>
      </w:r>
    </w:p>
    <w:p w:rsidR="00E4683D" w:rsidRDefault="00F768A0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Кристалічного піску кальцію оксалату</w:t>
      </w:r>
    </w:p>
    <w:p w:rsidR="00E4683D" w:rsidRDefault="00F768A0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Призматичних кристалів кальцію оксалату</w:t>
      </w:r>
    </w:p>
    <w:p w:rsidR="00F768A0" w:rsidRDefault="00F768A0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Цистолітів</w:t>
      </w:r>
      <w:proofErr w:type="spellEnd"/>
    </w:p>
    <w:p w:rsidR="00F768A0" w:rsidRDefault="00F768A0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Рафід</w:t>
      </w:r>
    </w:p>
    <w:p w:rsidR="00F768A0" w:rsidRPr="000B297E" w:rsidRDefault="00F768A0" w:rsidP="00F768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листя блекоти діагностичною анатомічною ознакою є наявність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Цистолітів</w:t>
      </w:r>
      <w:proofErr w:type="spellEnd"/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Призматичних кристалів кальцію оксалату</w:t>
      </w:r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кальцію оксалату</w:t>
      </w:r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Рафід</w:t>
      </w:r>
    </w:p>
    <w:p w:rsidR="00F768A0" w:rsidRP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Кристалічного піску кальцію оксалату</w:t>
      </w:r>
    </w:p>
    <w:p w:rsidR="00F768A0" w:rsidRPr="000B297E" w:rsidRDefault="00F768A0" w:rsidP="00F768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листя дурману діагностичною анатомічною ознакою є наявність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кальцію оксалату</w:t>
      </w:r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Цистолітів</w:t>
      </w:r>
      <w:proofErr w:type="spellEnd"/>
    </w:p>
    <w:p w:rsidR="00917313" w:rsidRDefault="00917313" w:rsidP="00917313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Рафід</w:t>
      </w:r>
    </w:p>
    <w:p w:rsid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Призматичних кристалів кальцію оксалату</w:t>
      </w:r>
    </w:p>
    <w:p w:rsidR="00F768A0" w:rsidRPr="00F768A0" w:rsidRDefault="00F768A0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Кристалічного піску кальцію оксалату</w:t>
      </w:r>
    </w:p>
    <w:p w:rsidR="00806927" w:rsidRPr="000B297E" w:rsidRDefault="00806927" w:rsidP="0080692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термопсису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діагностичною анатомічною ознакою є наявність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806927" w:rsidRDefault="00806927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Рафід</w:t>
      </w:r>
    </w:p>
    <w:p w:rsidR="00806927" w:rsidRDefault="00806927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кальцію оксалату</w:t>
      </w:r>
    </w:p>
    <w:p w:rsidR="00806927" w:rsidRDefault="00806927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Призматичних кристалів кальцію оксалату</w:t>
      </w:r>
    </w:p>
    <w:p w:rsidR="00806927" w:rsidRDefault="00806927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Сферокристалів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фенологлікозиду</w:t>
      </w:r>
      <w:proofErr w:type="spellEnd"/>
      <w:r w:rsidRPr="0080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AA" w:rsidRPr="00806927" w:rsidRDefault="00806927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Кристалічного піску кальцію оксалату</w:t>
      </w:r>
    </w:p>
    <w:p w:rsidR="003D509B" w:rsidRPr="003D509B" w:rsidRDefault="003D509B" w:rsidP="003D50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ЛР – ЛРС – Клас БАР – Формули – Назва сполуки.</w:t>
      </w:r>
    </w:p>
    <w:tbl>
      <w:tblPr>
        <w:tblStyle w:val="a6"/>
        <w:tblW w:w="5000" w:type="pct"/>
        <w:tblLook w:val="04A0"/>
      </w:tblPr>
      <w:tblGrid>
        <w:gridCol w:w="636"/>
        <w:gridCol w:w="3063"/>
        <w:gridCol w:w="1974"/>
        <w:gridCol w:w="2056"/>
        <w:gridCol w:w="2126"/>
      </w:tblGrid>
      <w:tr w:rsidR="003D509B" w:rsidTr="003D509B">
        <w:tc>
          <w:tcPr>
            <w:tcW w:w="330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1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008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ЛРС</w:t>
            </w:r>
          </w:p>
        </w:tc>
        <w:tc>
          <w:tcPr>
            <w:tcW w:w="1015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Клас БАР</w:t>
            </w:r>
          </w:p>
        </w:tc>
        <w:tc>
          <w:tcPr>
            <w:tcW w:w="1085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Назва сполуки</w:t>
            </w:r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Дурман індійський</w:t>
            </w:r>
          </w:p>
        </w:tc>
        <w:tc>
          <w:tcPr>
            <w:tcW w:w="1008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Кореневища з коренями</w:t>
            </w:r>
          </w:p>
        </w:tc>
        <w:tc>
          <w:tcPr>
            <w:tcW w:w="1015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Хінолізидинові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</w:t>
            </w:r>
          </w:p>
        </w:tc>
        <w:tc>
          <w:tcPr>
            <w:tcW w:w="1085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Платифілін</w:t>
            </w:r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Жовтозілля широколисте</w:t>
            </w:r>
          </w:p>
        </w:tc>
        <w:tc>
          <w:tcPr>
            <w:tcW w:w="1008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1015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Тропанові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</w:t>
            </w:r>
          </w:p>
        </w:tc>
        <w:tc>
          <w:tcPr>
            <w:tcW w:w="1085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Резерпін</w:t>
            </w:r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Термопсис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ланцетовидний</w:t>
            </w:r>
            <w:proofErr w:type="spellEnd"/>
          </w:p>
        </w:tc>
        <w:tc>
          <w:tcPr>
            <w:tcW w:w="1008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Коробочки</w:t>
            </w:r>
          </w:p>
        </w:tc>
        <w:tc>
          <w:tcPr>
            <w:tcW w:w="1015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Індольні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</w:t>
            </w:r>
          </w:p>
        </w:tc>
        <w:tc>
          <w:tcPr>
            <w:tcW w:w="1085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Морфін</w:t>
            </w:r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 снотворний</w:t>
            </w:r>
          </w:p>
        </w:tc>
        <w:tc>
          <w:tcPr>
            <w:tcW w:w="1008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Насіння</w:t>
            </w:r>
          </w:p>
        </w:tc>
        <w:tc>
          <w:tcPr>
            <w:tcW w:w="1015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Ізохінолінові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</w:t>
            </w:r>
          </w:p>
        </w:tc>
        <w:tc>
          <w:tcPr>
            <w:tcW w:w="1085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Цитизин</w:t>
            </w:r>
            <w:proofErr w:type="spellEnd"/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Раувольфія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зміїна</w:t>
            </w:r>
          </w:p>
        </w:tc>
        <w:tc>
          <w:tcPr>
            <w:tcW w:w="1008" w:type="pct"/>
          </w:tcPr>
          <w:p w:rsidR="003D509B" w:rsidRPr="003D509B" w:rsidRDefault="00883CC1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Корені</w:t>
            </w:r>
          </w:p>
        </w:tc>
        <w:tc>
          <w:tcPr>
            <w:tcW w:w="1015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Піролізидинові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</w:t>
            </w:r>
          </w:p>
        </w:tc>
        <w:tc>
          <w:tcPr>
            <w:tcW w:w="1085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Скополамін</w:t>
            </w:r>
          </w:p>
        </w:tc>
      </w:tr>
    </w:tbl>
    <w:p w:rsidR="003D509B" w:rsidRDefault="003D509B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655" w:rsidRDefault="005E3655" w:rsidP="005E36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ЛРС – Сполука – Препарат – Фармакологічна активність.</w:t>
      </w:r>
    </w:p>
    <w:p w:rsidR="005E3655" w:rsidRPr="003D509B" w:rsidRDefault="005E3655" w:rsidP="005E365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E3655">
        <w:rPr>
          <w:rFonts w:ascii="Times New Roman" w:hAnsi="Times New Roman" w:cs="Times New Roman"/>
          <w:b/>
          <w:sz w:val="28"/>
          <w:szCs w:val="28"/>
        </w:rPr>
        <w:t>Напишіть латинські назви ЛРС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5000" w:type="pct"/>
        <w:tblLook w:val="04A0"/>
      </w:tblPr>
      <w:tblGrid>
        <w:gridCol w:w="553"/>
        <w:gridCol w:w="2980"/>
        <w:gridCol w:w="1890"/>
        <w:gridCol w:w="1904"/>
        <w:gridCol w:w="2528"/>
      </w:tblGrid>
      <w:tr w:rsidR="005E3655" w:rsidRPr="005E3655" w:rsidTr="00DE22D1">
        <w:tc>
          <w:tcPr>
            <w:tcW w:w="330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1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008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Сполука</w:t>
            </w:r>
          </w:p>
        </w:tc>
        <w:tc>
          <w:tcPr>
            <w:tcW w:w="1015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Препарат</w:t>
            </w:r>
          </w:p>
        </w:tc>
        <w:tc>
          <w:tcPr>
            <w:tcW w:w="1085" w:type="pct"/>
          </w:tcPr>
          <w:p w:rsidR="005E3655" w:rsidRPr="005E3655" w:rsidRDefault="00EB4B91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Фармакологічна дія</w:t>
            </w:r>
            <w:bookmarkStart w:id="0" w:name="_GoBack"/>
            <w:bookmarkEnd w:id="0"/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Барвінок малий</w:t>
            </w:r>
          </w:p>
        </w:tc>
        <w:tc>
          <w:tcPr>
            <w:tcW w:w="1008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Морфін</w:t>
            </w:r>
          </w:p>
        </w:tc>
        <w:tc>
          <w:tcPr>
            <w:tcW w:w="1015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Бронхолітин</w:t>
            </w:r>
            <w:proofErr w:type="spellEnd"/>
          </w:p>
        </w:tc>
        <w:tc>
          <w:tcPr>
            <w:tcW w:w="108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Протикашльова</w:t>
            </w:r>
            <w:proofErr w:type="spellEnd"/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 снотворний</w:t>
            </w:r>
          </w:p>
        </w:tc>
        <w:tc>
          <w:tcPr>
            <w:tcW w:w="1008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Сангвінарин</w:t>
            </w:r>
            <w:proofErr w:type="spellEnd"/>
          </w:p>
        </w:tc>
        <w:tc>
          <w:tcPr>
            <w:tcW w:w="1015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Вінкатон</w:t>
            </w:r>
            <w:proofErr w:type="spellEnd"/>
          </w:p>
        </w:tc>
        <w:tc>
          <w:tcPr>
            <w:tcW w:w="108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Гепатопротекторна</w:t>
            </w:r>
            <w:proofErr w:type="spellEnd"/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Мачок жовтий</w:t>
            </w:r>
          </w:p>
        </w:tc>
        <w:tc>
          <w:tcPr>
            <w:tcW w:w="1008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Вінкамін</w:t>
            </w:r>
            <w:proofErr w:type="spellEnd"/>
          </w:p>
        </w:tc>
        <w:tc>
          <w:tcPr>
            <w:tcW w:w="101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Гепабене</w:t>
            </w:r>
            <w:proofErr w:type="spellEnd"/>
          </w:p>
        </w:tc>
        <w:tc>
          <w:tcPr>
            <w:tcW w:w="108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Знеболювальна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спазмолітична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геморої</w:t>
            </w:r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Беладонна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звичайна</w:t>
            </w:r>
          </w:p>
        </w:tc>
        <w:tc>
          <w:tcPr>
            <w:tcW w:w="1008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Атропін</w:t>
            </w:r>
          </w:p>
        </w:tc>
        <w:tc>
          <w:tcPr>
            <w:tcW w:w="101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Омнопон</w:t>
            </w:r>
            <w:proofErr w:type="spellEnd"/>
          </w:p>
        </w:tc>
        <w:tc>
          <w:tcPr>
            <w:tcW w:w="108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Наркотичний анальгетик</w:t>
            </w:r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лікарська</w:t>
            </w:r>
          </w:p>
        </w:tc>
        <w:tc>
          <w:tcPr>
            <w:tcW w:w="1008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Глауцин</w:t>
            </w:r>
            <w:proofErr w:type="spellEnd"/>
          </w:p>
        </w:tc>
        <w:tc>
          <w:tcPr>
            <w:tcW w:w="1015" w:type="pct"/>
          </w:tcPr>
          <w:p w:rsidR="005E3655" w:rsidRPr="003D509B" w:rsidRDefault="00A9717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Анузол</w:t>
            </w:r>
            <w:proofErr w:type="spellEnd"/>
          </w:p>
        </w:tc>
        <w:tc>
          <w:tcPr>
            <w:tcW w:w="1085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Гіпотензивна</w:t>
            </w:r>
          </w:p>
        </w:tc>
      </w:tr>
    </w:tbl>
    <w:p w:rsidR="003D509B" w:rsidRDefault="003D509B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3D4B" w:rsidRPr="00CF543C" w:rsidRDefault="00283D4B" w:rsidP="00CF543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Формула – Назва – ЛС</w:t>
      </w:r>
      <w:r w:rsidR="00CF543C">
        <w:rPr>
          <w:rFonts w:ascii="Times New Roman" w:hAnsi="Times New Roman" w:cs="Times New Roman"/>
          <w:sz w:val="28"/>
          <w:szCs w:val="28"/>
        </w:rPr>
        <w:t xml:space="preserve"> – </w:t>
      </w:r>
      <w:r w:rsidRPr="00CF543C">
        <w:rPr>
          <w:rFonts w:ascii="Times New Roman" w:hAnsi="Times New Roman" w:cs="Times New Roman"/>
          <w:b/>
          <w:sz w:val="28"/>
          <w:szCs w:val="28"/>
        </w:rPr>
        <w:t>Напишіть латинські назви ЛРС.</w:t>
      </w:r>
    </w:p>
    <w:p w:rsidR="00CF543C" w:rsidRDefault="00CF543C" w:rsidP="00283D4B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43C" w:rsidRDefault="00CF543C" w:rsidP="00283D4B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43C" w:rsidRDefault="00CF543C" w:rsidP="00283D4B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43C" w:rsidRDefault="00CF543C" w:rsidP="00283D4B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43C" w:rsidRDefault="00CF543C" w:rsidP="00283D4B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43C" w:rsidRPr="00283D4B" w:rsidRDefault="00CF543C" w:rsidP="00283D4B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499"/>
        <w:gridCol w:w="3912"/>
        <w:gridCol w:w="1616"/>
        <w:gridCol w:w="2042"/>
        <w:gridCol w:w="1786"/>
      </w:tblGrid>
      <w:tr w:rsidR="00CF543C" w:rsidRPr="005E3655" w:rsidTr="00CF543C">
        <w:tc>
          <w:tcPr>
            <w:tcW w:w="253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Формула</w:t>
            </w:r>
          </w:p>
        </w:tc>
        <w:tc>
          <w:tcPr>
            <w:tcW w:w="820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036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ЛС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Латинська назва ЛРС</w:t>
            </w:r>
          </w:p>
        </w:tc>
      </w:tr>
      <w:tr w:rsidR="00CF543C" w:rsidRPr="003D509B" w:rsidTr="00CF543C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243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100.8pt" o:ole="">
                  <v:imagedata r:id="rId5" o:title=""/>
                </v:shape>
                <o:OLEObject Type="Embed" ProgID="ISISServer" ShapeID="_x0000_i1025" DrawAspect="Content" ObjectID="_1647019040" r:id="rId6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Хелідонін</w:t>
            </w:r>
            <w:proofErr w:type="spellEnd"/>
          </w:p>
        </w:tc>
        <w:tc>
          <w:tcPr>
            <w:tcW w:w="1036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Барвінок малий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3540" w:dyaOrig="2055">
                <v:shape id="_x0000_i1026" type="#_x0000_t75" style="width:139.2pt;height:81pt" o:ole="">
                  <v:imagedata r:id="rId7" o:title=""/>
                </v:shape>
                <o:OLEObject Type="Embed" ProgID="ISISServer" ShapeID="_x0000_i1026" DrawAspect="Content" ObjectID="_1647019041" r:id="rId8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Платифілін</w:t>
            </w:r>
          </w:p>
        </w:tc>
        <w:tc>
          <w:tcPr>
            <w:tcW w:w="1036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Раувольфія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зміїна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6869" w:dyaOrig="2895">
                <v:shape id="_x0000_i1027" type="#_x0000_t75" style="width:184.2pt;height:78pt" o:ole="">
                  <v:imagedata r:id="rId9" o:title=""/>
                </v:shape>
                <o:OLEObject Type="Embed" ProgID="ISISServer" ShapeID="_x0000_i1027" DrawAspect="Content" ObjectID="_1647019042" r:id="rId10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Папаверин</w:t>
            </w:r>
          </w:p>
        </w:tc>
        <w:tc>
          <w:tcPr>
            <w:tcW w:w="1036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Спориння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пурпурова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2625" w:dyaOrig="2580">
                <v:shape id="_x0000_i1028" type="#_x0000_t75" style="width:92.4pt;height:90.6pt" o:ole="">
                  <v:imagedata r:id="rId11" o:title=""/>
                </v:shape>
                <o:OLEObject Type="Embed" ProgID="ISISServer" ShapeID="_x0000_i1028" DrawAspect="Content" ObjectID="_1647019043" r:id="rId12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Гарман</w:t>
            </w:r>
          </w:p>
        </w:tc>
        <w:tc>
          <w:tcPr>
            <w:tcW w:w="1036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Цинхона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червоносокова</w:t>
            </w:r>
            <w:proofErr w:type="spellEnd"/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2820" w:dyaOrig="2265">
                <v:shape id="_x0000_i1029" type="#_x0000_t75" style="width:92.4pt;height:74.4pt" o:ole="">
                  <v:imagedata r:id="rId13" o:title=""/>
                </v:shape>
                <o:OLEObject Type="Embed" ProgID="ISISServer" ShapeID="_x0000_i1029" DrawAspect="Content" ObjectID="_1647019044" r:id="rId14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Хінін</w:t>
            </w:r>
          </w:p>
        </w:tc>
        <w:tc>
          <w:tcPr>
            <w:tcW w:w="1036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 снотворний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pct"/>
          </w:tcPr>
          <w:p w:rsidR="00CF543C" w:rsidRDefault="00CF543C" w:rsidP="00DE22D1">
            <w:pPr>
              <w:jc w:val="center"/>
            </w:pPr>
            <w:r w:rsidRPr="003F0DC6">
              <w:object w:dxaOrig="2625" w:dyaOrig="1515">
                <v:shape id="_x0000_i1030" type="#_x0000_t75" style="width:99pt;height:57pt" o:ole="">
                  <v:imagedata r:id="rId15" o:title=""/>
                </v:shape>
                <o:OLEObject Type="Embed" ProgID="ISISServer" ShapeID="_x0000_i1030" DrawAspect="Content" ObjectID="_1647019045" r:id="rId16"/>
              </w:object>
            </w:r>
          </w:p>
          <w:p w:rsidR="00CF543C" w:rsidRPr="00CF543C" w:rsidRDefault="00CF543C" w:rsidP="00CF54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4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R=H</w: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Термопсин</w:t>
            </w:r>
            <w:proofErr w:type="spellEnd"/>
          </w:p>
        </w:tc>
        <w:tc>
          <w:tcPr>
            <w:tcW w:w="1036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Беладонна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звичайна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3840" w:dyaOrig="2354">
                <v:shape id="_x0000_i1031" type="#_x0000_t75" style="width:132pt;height:81pt" o:ole="">
                  <v:imagedata r:id="rId17" o:title=""/>
                </v:shape>
                <o:OLEObject Type="Embed" ProgID="ISISServer" ShapeID="_x0000_i1031" DrawAspect="Content" ObjectID="_1647019046" r:id="rId18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Вінкамін</w:t>
            </w:r>
            <w:proofErr w:type="spellEnd"/>
          </w:p>
        </w:tc>
        <w:tc>
          <w:tcPr>
            <w:tcW w:w="1036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китайський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2625" w:dyaOrig="1665">
                <v:shape id="_x0000_i1032" type="#_x0000_t75" style="width:97.8pt;height:61.8pt" o:ole="">
                  <v:imagedata r:id="rId19" o:title=""/>
                </v:shape>
                <o:OLEObject Type="Embed" ProgID="ISISServer" ShapeID="_x0000_i1032" DrawAspect="Content" ObjectID="_1647019047" r:id="rId20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Гіосціамін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атропін</w:t>
            </w:r>
          </w:p>
        </w:tc>
        <w:tc>
          <w:tcPr>
            <w:tcW w:w="1036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Чистотіл великий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3975" w:dyaOrig="2145">
                <v:shape id="_x0000_i1033" type="#_x0000_t75" style="width:132.6pt;height:1in" o:ole="">
                  <v:imagedata r:id="rId21" o:title=""/>
                </v:shape>
                <o:OLEObject Type="Embed" ProgID="ISISServer" ShapeID="_x0000_i1033" DrawAspect="Content" ObjectID="_1647019048" r:id="rId22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Кофеїн</w:t>
            </w:r>
          </w:p>
        </w:tc>
        <w:tc>
          <w:tcPr>
            <w:tcW w:w="1036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Термопсис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ланцетовидний</w:t>
            </w:r>
            <w:proofErr w:type="spellEnd"/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4995" w:dyaOrig="1245">
                <v:shape id="_x0000_i1034" type="#_x0000_t75" style="width:163.8pt;height:41.4pt" o:ole="">
                  <v:imagedata r:id="rId23" o:title=""/>
                </v:shape>
                <o:OLEObject Type="Embed" ProgID="ISISServer" ShapeID="_x0000_i1034" DrawAspect="Content" ObjectID="_1647019049" r:id="rId24"/>
              </w:object>
            </w:r>
          </w:p>
        </w:tc>
        <w:tc>
          <w:tcPr>
            <w:tcW w:w="820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Лізергінова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1036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Пасифлора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інкарнатна</w:t>
            </w:r>
            <w:proofErr w:type="spellEnd"/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3C" w:rsidRPr="003D509B" w:rsidTr="00CF543C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pct"/>
          </w:tcPr>
          <w:p w:rsidR="00CF543C" w:rsidRPr="003F0DC6" w:rsidRDefault="00CF543C" w:rsidP="00DE22D1">
            <w:pPr>
              <w:jc w:val="center"/>
            </w:pPr>
            <w:r w:rsidRPr="003F0DC6">
              <w:object w:dxaOrig="2160" w:dyaOrig="2070">
                <v:shape id="_x0000_i1035" type="#_x0000_t75" style="width:81pt;height:78pt" o:ole="">
                  <v:imagedata r:id="rId25" o:title=""/>
                </v:shape>
                <o:OLEObject Type="Embed" ProgID="ISISServer" ShapeID="_x0000_i1035" DrawAspect="Content" ObjectID="_1647019050" r:id="rId26"/>
              </w:object>
            </w:r>
          </w:p>
        </w:tc>
        <w:tc>
          <w:tcPr>
            <w:tcW w:w="820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Резерпін</w:t>
            </w:r>
          </w:p>
        </w:tc>
        <w:tc>
          <w:tcPr>
            <w:tcW w:w="1036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Жовтозілля широколисте</w:t>
            </w:r>
          </w:p>
        </w:tc>
        <w:tc>
          <w:tcPr>
            <w:tcW w:w="907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09B" w:rsidRDefault="003D509B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(за допомогою літератури для підготовки до занять)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 у навчальному посібнику «</w:t>
      </w:r>
      <w:r w:rsidR="00A92264"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DD4E51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для здобувачів вищої освіти /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Журавель, О.М. Новосел, В.Ю. Кузнєцова, З.І. Омельченко, О.А.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Н.Є. Бурда, В.В.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Процька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 / за ред.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Журавель. – Х.: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>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Золотые страницы, 2003. – 512 с.</w:t>
      </w:r>
    </w:p>
    <w:sectPr w:rsidR="00425E53" w:rsidRPr="00425E53" w:rsidSect="00957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85C27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3CBA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5111E"/>
    <w:multiLevelType w:val="hybridMultilevel"/>
    <w:tmpl w:val="941ED6F6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4787C"/>
    <w:multiLevelType w:val="hybridMultilevel"/>
    <w:tmpl w:val="599084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326"/>
    <w:multiLevelType w:val="hybridMultilevel"/>
    <w:tmpl w:val="FAE6F372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6E5627"/>
    <w:multiLevelType w:val="hybridMultilevel"/>
    <w:tmpl w:val="31C8536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4F28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D0DB2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0D4010"/>
    <w:multiLevelType w:val="hybridMultilevel"/>
    <w:tmpl w:val="11C033A6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3603E"/>
    <w:rsid w:val="00283D4B"/>
    <w:rsid w:val="002A6956"/>
    <w:rsid w:val="002F2517"/>
    <w:rsid w:val="00307872"/>
    <w:rsid w:val="003D509B"/>
    <w:rsid w:val="003E508F"/>
    <w:rsid w:val="00425E53"/>
    <w:rsid w:val="004629D1"/>
    <w:rsid w:val="00490E64"/>
    <w:rsid w:val="004A376C"/>
    <w:rsid w:val="004B12C9"/>
    <w:rsid w:val="004B147F"/>
    <w:rsid w:val="004C4841"/>
    <w:rsid w:val="004D1CF9"/>
    <w:rsid w:val="00502B5D"/>
    <w:rsid w:val="0051041E"/>
    <w:rsid w:val="00533C10"/>
    <w:rsid w:val="005571B7"/>
    <w:rsid w:val="005C24A1"/>
    <w:rsid w:val="005E3655"/>
    <w:rsid w:val="00650F2B"/>
    <w:rsid w:val="006629A5"/>
    <w:rsid w:val="00672114"/>
    <w:rsid w:val="00677DC5"/>
    <w:rsid w:val="0076071E"/>
    <w:rsid w:val="00791AB1"/>
    <w:rsid w:val="00806927"/>
    <w:rsid w:val="00883CC1"/>
    <w:rsid w:val="008F2571"/>
    <w:rsid w:val="00900007"/>
    <w:rsid w:val="00917313"/>
    <w:rsid w:val="00957F56"/>
    <w:rsid w:val="009862F0"/>
    <w:rsid w:val="00A366CC"/>
    <w:rsid w:val="00A8794F"/>
    <w:rsid w:val="00A92264"/>
    <w:rsid w:val="00A952D8"/>
    <w:rsid w:val="00A97175"/>
    <w:rsid w:val="00AE4C54"/>
    <w:rsid w:val="00AF4068"/>
    <w:rsid w:val="00C13912"/>
    <w:rsid w:val="00C44FDE"/>
    <w:rsid w:val="00CC6886"/>
    <w:rsid w:val="00CF543C"/>
    <w:rsid w:val="00DD1255"/>
    <w:rsid w:val="00DD4E51"/>
    <w:rsid w:val="00E12CFD"/>
    <w:rsid w:val="00E4683D"/>
    <w:rsid w:val="00EA74B5"/>
    <w:rsid w:val="00EB4B91"/>
    <w:rsid w:val="00ED1266"/>
    <w:rsid w:val="00F447AA"/>
    <w:rsid w:val="00F63ADD"/>
    <w:rsid w:val="00F716DB"/>
    <w:rsid w:val="00F7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2020-03-29T17:31:00Z</dcterms:created>
  <dcterms:modified xsi:type="dcterms:W3CDTF">2020-03-29T17:31:00Z</dcterms:modified>
</cp:coreProperties>
</file>