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6" w:rsidRPr="00672114" w:rsidRDefault="00BC19E6" w:rsidP="00BC1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BC19E6" w:rsidRPr="00BC19E6" w:rsidRDefault="00BC19E6" w:rsidP="00BC19E6">
      <w:pPr>
        <w:pStyle w:val="a4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 w:rsidR="00255DEB"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BC19E6" w:rsidRDefault="00BC19E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B14740" w:rsidRDefault="006C77B3" w:rsidP="00EF58F6">
      <w:pPr>
        <w:pStyle w:val="a4"/>
        <w:spacing w:line="276" w:lineRule="auto"/>
        <w:jc w:val="left"/>
        <w:rPr>
          <w:b w:val="0"/>
          <w:color w:val="FF0000"/>
          <w:szCs w:val="28"/>
          <w:lang w:val="uk-UA"/>
        </w:rPr>
      </w:pPr>
      <w:r w:rsidRPr="00B14740">
        <w:rPr>
          <w:b w:val="0"/>
          <w:color w:val="FF0000"/>
          <w:szCs w:val="28"/>
          <w:lang w:val="uk-UA"/>
        </w:rPr>
        <w:t>3</w:t>
      </w:r>
      <w:r w:rsidR="009426CF" w:rsidRPr="00B14740">
        <w:rPr>
          <w:b w:val="0"/>
          <w:color w:val="FF0000"/>
          <w:szCs w:val="28"/>
          <w:lang w:val="uk-UA"/>
        </w:rPr>
        <w:t>0</w:t>
      </w:r>
      <w:r w:rsidR="00EF58F6" w:rsidRPr="00B14740">
        <w:rPr>
          <w:b w:val="0"/>
          <w:color w:val="FF0000"/>
          <w:szCs w:val="28"/>
          <w:lang w:val="uk-UA"/>
        </w:rPr>
        <w:t xml:space="preserve">.03.20 – </w:t>
      </w:r>
      <w:r w:rsidR="00EF58F6" w:rsidRPr="00B14740">
        <w:rPr>
          <w:b w:val="0"/>
          <w:bCs/>
          <w:color w:val="FF0000"/>
          <w:szCs w:val="28"/>
          <w:lang w:val="uk-UA"/>
        </w:rPr>
        <w:t>1 групи</w:t>
      </w:r>
    </w:p>
    <w:p w:rsidR="006C77B3" w:rsidRDefault="006C77B3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6C77B3" w:rsidRDefault="00EF58F6" w:rsidP="00EF58F6">
      <w:pPr>
        <w:spacing w:line="21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426CF">
        <w:rPr>
          <w:rFonts w:ascii="Times New Roman" w:hAnsi="Times New Roman" w:cs="Times New Roman"/>
          <w:b/>
          <w:sz w:val="28"/>
          <w:szCs w:val="28"/>
        </w:rPr>
        <w:t>«</w:t>
      </w:r>
      <w:r w:rsidR="009426CF" w:rsidRPr="009426CF">
        <w:rPr>
          <w:rFonts w:ascii="Times New Roman" w:hAnsi="Times New Roman" w:cs="Times New Roman"/>
          <w:b/>
          <w:sz w:val="28"/>
          <w:szCs w:val="28"/>
        </w:rPr>
        <w:t xml:space="preserve">Морфолого-анатомічний аналіз ЛРС, яка містить </w:t>
      </w:r>
      <w:proofErr w:type="spellStart"/>
      <w:r w:rsidR="009426CF" w:rsidRPr="009426CF">
        <w:rPr>
          <w:rFonts w:ascii="Times New Roman" w:hAnsi="Times New Roman" w:cs="Times New Roman"/>
          <w:b/>
          <w:sz w:val="28"/>
          <w:szCs w:val="28"/>
        </w:rPr>
        <w:t>флавоноїди</w:t>
      </w:r>
      <w:proofErr w:type="spellEnd"/>
      <w:r w:rsidRPr="009426CF">
        <w:rPr>
          <w:rFonts w:ascii="Times New Roman" w:hAnsi="Times New Roman" w:cs="Times New Roman"/>
          <w:b/>
          <w:sz w:val="28"/>
          <w:szCs w:val="28"/>
        </w:rPr>
        <w:t>»</w:t>
      </w:r>
    </w:p>
    <w:p w:rsidR="009B628F" w:rsidRPr="009B628F" w:rsidRDefault="00EF58F6" w:rsidP="009B628F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628F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</w:t>
      </w:r>
      <w:r w:rsidRPr="009B628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 Знати </w:t>
      </w:r>
      <w:r w:rsidR="00B84958" w:rsidRPr="00B84958">
        <w:rPr>
          <w:rFonts w:ascii="Times New Roman" w:hAnsi="Times New Roman" w:cs="Times New Roman"/>
          <w:sz w:val="24"/>
          <w:szCs w:val="24"/>
          <w:lang w:val="uk-UA"/>
        </w:rPr>
        <w:t>та у</w:t>
      </w:r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міти діагностувати за зовнішніми ознаками лікарські рослини (софора японська, волошка синя,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аронія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 чорноплідна, собача кропива, гірчак перцевий, гірчак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почечуйний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, гірчак пташиний, сухоцвіт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багновий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, гречка звичайна, цмин пісковий, пижмо звичайне, види глоду, череда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трироздільна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, бузина чорна, липа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серцелиста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, фіалка польова та трикольорова,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ерва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 шерстиста, хвощ </w:t>
      </w:r>
      <w:r w:rsidR="00E47FAB">
        <w:rPr>
          <w:rFonts w:ascii="Times New Roman" w:hAnsi="Times New Roman" w:cs="Times New Roman"/>
          <w:sz w:val="24"/>
          <w:szCs w:val="24"/>
          <w:lang w:val="uk-UA"/>
        </w:rPr>
        <w:t>польовий</w:t>
      </w:r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, солодка гола, види вовчуга, звіробій звичайний,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гінкго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 дволопатеве, нагідки лікарські) і відрізняти їх від морфологічно подібних видів, визначати тотожність та доброякісність лікарської сировини за зовнішніми, </w:t>
      </w:r>
      <w:proofErr w:type="spellStart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мікродіагностичними</w:t>
      </w:r>
      <w:proofErr w:type="spellEnd"/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 xml:space="preserve"> ознаками, якісними реакціями та вмістом БАР, ознайомитися з особливостями заготівлі, первинної обробки, умовами сушіння і зберігання, фармакологічною дією і медичним застосуванням ЛРС</w:t>
      </w:r>
      <w:r w:rsidR="009B628F" w:rsidRPr="00B849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28F" w:rsidRPr="009B628F">
        <w:rPr>
          <w:rFonts w:ascii="Times New Roman" w:hAnsi="Times New Roman" w:cs="Times New Roman"/>
          <w:sz w:val="24"/>
          <w:szCs w:val="24"/>
          <w:lang w:val="uk-UA"/>
        </w:rPr>
        <w:t>і препаратів на її основі, їх протипоказаннями до застосування.</w:t>
      </w:r>
    </w:p>
    <w:p w:rsidR="00EF58F6" w:rsidRPr="009B628F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A68" w:rsidRPr="00A111BE" w:rsidRDefault="00FE218E" w:rsidP="009B62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Флавоноїди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</w:t>
      </w:r>
      <w:r w:rsidR="00A111BE" w:rsidRPr="00A111BE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111BE">
        <w:rPr>
          <w:rFonts w:ascii="Times New Roman" w:hAnsi="Times New Roman" w:cs="Times New Roman"/>
          <w:sz w:val="24"/>
          <w:szCs w:val="24"/>
        </w:rPr>
        <w:t xml:space="preserve"> це клас дуже поширених у природі фенольних сполук. Як речовини з широким спектром біологічної дії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флавоноїди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містяться в овочах, фруктах, горіхах, насінні, квітках, корі дерев. Сумарна їх кількість у добовому раціоні людини досягає </w:t>
      </w:r>
      <w:smartTag w:uri="urn:schemas-microsoft-com:office:smarttags" w:element="metricconverter">
        <w:smartTagPr>
          <w:attr w:name="ProductID" w:val="1 г"/>
        </w:smartTagPr>
        <w:r w:rsidRPr="00A111BE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A111BE">
        <w:rPr>
          <w:rFonts w:ascii="Times New Roman" w:hAnsi="Times New Roman" w:cs="Times New Roman"/>
          <w:sz w:val="24"/>
          <w:szCs w:val="24"/>
        </w:rPr>
        <w:t xml:space="preserve">, що достатньо для виконання важливої біологічної ролі. У поєднанні з аскорбіновою кислотою вони беруть участь в окисно-відновних процесах, гальмують окиснення, подовжуючи дію адреналіну, є складовим елементом антиоксидантної системи клітин. Змінюючи активність багатьох ферментів (транспортних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АТФаз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фосфодіестерази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,), рослинні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флавоноїди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впливають на імунологічні, секреторні, видільні, скоротливі та рухові процеси. їм властива протизапальна, жовчогінна, противірусна,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противиразкова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анальгезуюча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активність. Вони підвищують резистентність стінки капілярів, впливають на мікроциркуляцію, мають трофічну дію на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периваскулярну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сполучну тканину, підвищують судинозвужувальний вплив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катехоламінів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. Рослинні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флавоноїди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діють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спазмолітично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на кровоносні судини, нормалізують підвищену проникність стінки капілярів, гальмують розвиток набряку. Препарати рослинних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флавоноїдів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є природними регуляторами резистентності слизової оболонки шлунка, імунологічних процесів,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вільнорадикальних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реакцій тощо. Для них властива </w:t>
      </w:r>
      <w:proofErr w:type="spellStart"/>
      <w:r w:rsidRPr="00A111BE">
        <w:rPr>
          <w:rFonts w:ascii="Times New Roman" w:hAnsi="Times New Roman" w:cs="Times New Roman"/>
          <w:sz w:val="24"/>
          <w:szCs w:val="24"/>
        </w:rPr>
        <w:t>гепатопротекторна</w:t>
      </w:r>
      <w:proofErr w:type="spellEnd"/>
      <w:r w:rsidRPr="00A111BE">
        <w:rPr>
          <w:rFonts w:ascii="Times New Roman" w:hAnsi="Times New Roman" w:cs="Times New Roman"/>
          <w:sz w:val="24"/>
          <w:szCs w:val="24"/>
        </w:rPr>
        <w:t xml:space="preserve"> і антиоксидантна активність.</w:t>
      </w: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24661A" w:rsidRDefault="00EF58F6" w:rsidP="00BB1D4A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базовий підручник</w:t>
      </w:r>
      <w:r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D4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4E621D">
        <w:rPr>
          <w:rFonts w:ascii="Times New Roman" w:hAnsi="Times New Roman" w:cs="Times New Roman"/>
          <w:b/>
          <w:sz w:val="28"/>
          <w:szCs w:val="28"/>
        </w:rPr>
        <w:t xml:space="preserve"> 464-516</w:t>
      </w:r>
    </w:p>
    <w:p w:rsidR="00EF58F6" w:rsidRPr="00BB1D4A" w:rsidRDefault="00EF58F6" w:rsidP="00BB1D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D4A">
        <w:rPr>
          <w:rFonts w:ascii="Times New Roman" w:hAnsi="Times New Roman" w:cs="Times New Roman"/>
          <w:sz w:val="28"/>
          <w:szCs w:val="28"/>
        </w:rPr>
        <w:lastRenderedPageBreak/>
        <w:t>учебное</w:t>
      </w:r>
      <w:proofErr w:type="spellEnd"/>
      <w:r w:rsidRPr="00BB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D4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BB1D4A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proofErr w:type="spellStart"/>
      <w:r w:rsidRPr="00BB1D4A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Pr="00BB1D4A">
        <w:rPr>
          <w:rFonts w:ascii="Times New Roman" w:hAnsi="Times New Roman" w:cs="Times New Roman"/>
          <w:sz w:val="28"/>
          <w:szCs w:val="28"/>
        </w:rPr>
        <w:t xml:space="preserve">» – </w:t>
      </w:r>
      <w:r w:rsidRPr="00BB1D4A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B43D4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125-165</w:t>
      </w:r>
    </w:p>
    <w:p w:rsidR="00EF58F6" w:rsidRPr="008F2571" w:rsidRDefault="00EF58F6" w:rsidP="00EF58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флавоноїді</w:t>
      </w:r>
      <w:proofErr w:type="gramStart"/>
      <w:r w:rsidR="006C77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флавоноїдів</w:t>
      </w:r>
      <w:proofErr w:type="spellEnd"/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флавоноїдів</w:t>
      </w:r>
      <w:proofErr w:type="spellEnd"/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флавоноїдів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003A" w:rsidRDefault="001A003A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6D40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106D40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латинські назви ЛР та ЛРС, що є джерелами отриманн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44E41">
        <w:rPr>
          <w:rFonts w:ascii="Times New Roman" w:hAnsi="Times New Roman" w:cs="Times New Roman"/>
          <w:sz w:val="28"/>
          <w:szCs w:val="28"/>
        </w:rPr>
        <w:t>рутину.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6F2" w:rsidRPr="00B645D4" w:rsidRDefault="004056F2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06D40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106D40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106D40">
        <w:rPr>
          <w:rFonts w:ascii="Times New Roman" w:hAnsi="Times New Roman" w:cs="Times New Roman"/>
          <w:sz w:val="28"/>
          <w:szCs w:val="28"/>
        </w:rPr>
        <w:t xml:space="preserve"> домішки до бузини</w:t>
      </w:r>
      <w:r w:rsidR="00106D40" w:rsidRPr="00106D40">
        <w:rPr>
          <w:rFonts w:ascii="Times New Roman" w:hAnsi="Times New Roman" w:cs="Times New Roman"/>
          <w:sz w:val="28"/>
          <w:szCs w:val="28"/>
        </w:rPr>
        <w:t xml:space="preserve"> чорної</w:t>
      </w:r>
      <w:r w:rsidRPr="00106D40">
        <w:rPr>
          <w:rFonts w:ascii="Times New Roman" w:hAnsi="Times New Roman" w:cs="Times New Roman"/>
          <w:sz w:val="28"/>
          <w:szCs w:val="28"/>
        </w:rPr>
        <w:t>, цмину</w:t>
      </w:r>
      <w:r w:rsidR="00106D40" w:rsidRPr="0010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D40" w:rsidRPr="00106D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6D40" w:rsidRPr="00106D40">
        <w:rPr>
          <w:rFonts w:ascii="Times New Roman" w:hAnsi="Times New Roman" w:cs="Times New Roman"/>
          <w:sz w:val="28"/>
          <w:szCs w:val="28"/>
        </w:rPr>
        <w:t>іскового</w:t>
      </w:r>
      <w:r w:rsidRPr="00106D40">
        <w:rPr>
          <w:rFonts w:ascii="Times New Roman" w:hAnsi="Times New Roman" w:cs="Times New Roman"/>
          <w:sz w:val="28"/>
          <w:szCs w:val="28"/>
        </w:rPr>
        <w:t xml:space="preserve">, собачої </w:t>
      </w:r>
      <w:proofErr w:type="spellStart"/>
      <w:r w:rsidRPr="00106D40">
        <w:rPr>
          <w:rFonts w:ascii="Times New Roman" w:hAnsi="Times New Roman" w:cs="Times New Roman"/>
          <w:sz w:val="28"/>
          <w:szCs w:val="28"/>
        </w:rPr>
        <w:t>кропови</w:t>
      </w:r>
      <w:proofErr w:type="spellEnd"/>
      <w:r w:rsidRPr="00106D40">
        <w:rPr>
          <w:rFonts w:ascii="Times New Roman" w:hAnsi="Times New Roman" w:cs="Times New Roman"/>
          <w:sz w:val="28"/>
          <w:szCs w:val="28"/>
        </w:rPr>
        <w:t xml:space="preserve">, сухоцвіту </w:t>
      </w:r>
      <w:proofErr w:type="spellStart"/>
      <w:r w:rsidRPr="00106D40">
        <w:rPr>
          <w:rFonts w:ascii="Times New Roman" w:hAnsi="Times New Roman" w:cs="Times New Roman"/>
          <w:sz w:val="28"/>
          <w:szCs w:val="28"/>
        </w:rPr>
        <w:t>багнового</w:t>
      </w:r>
      <w:proofErr w:type="spellEnd"/>
      <w:r w:rsidRPr="00106D40">
        <w:rPr>
          <w:rFonts w:ascii="Times New Roman" w:hAnsi="Times New Roman" w:cs="Times New Roman"/>
          <w:sz w:val="28"/>
          <w:szCs w:val="28"/>
        </w:rPr>
        <w:t xml:space="preserve">, гірчака перцевого, хвоща </w:t>
      </w:r>
      <w:r w:rsidR="00E47FAB" w:rsidRPr="00106D40">
        <w:rPr>
          <w:rFonts w:ascii="Times New Roman" w:hAnsi="Times New Roman" w:cs="Times New Roman"/>
          <w:sz w:val="28"/>
          <w:szCs w:val="28"/>
        </w:rPr>
        <w:t>польового</w:t>
      </w:r>
      <w:r w:rsidRPr="00106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6D40">
        <w:rPr>
          <w:rFonts w:ascii="Times New Roman" w:hAnsi="Times New Roman" w:cs="Times New Roman"/>
          <w:sz w:val="28"/>
          <w:szCs w:val="28"/>
        </w:rPr>
        <w:t>солодки</w:t>
      </w:r>
      <w:proofErr w:type="spellEnd"/>
      <w:r w:rsidRPr="00106D40">
        <w:rPr>
          <w:rFonts w:ascii="Times New Roman" w:hAnsi="Times New Roman" w:cs="Times New Roman"/>
          <w:sz w:val="28"/>
          <w:szCs w:val="28"/>
        </w:rPr>
        <w:t xml:space="preserve"> голої черед</w:t>
      </w:r>
      <w:r w:rsidR="00106D40" w:rsidRPr="00106D40">
        <w:rPr>
          <w:rFonts w:ascii="Times New Roman" w:hAnsi="Times New Roman" w:cs="Times New Roman"/>
          <w:sz w:val="28"/>
          <w:szCs w:val="28"/>
        </w:rPr>
        <w:t>и</w:t>
      </w:r>
      <w:r w:rsidRPr="0010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D40">
        <w:rPr>
          <w:rFonts w:ascii="Times New Roman" w:hAnsi="Times New Roman" w:cs="Times New Roman"/>
          <w:sz w:val="28"/>
          <w:szCs w:val="28"/>
        </w:rPr>
        <w:t>трироздільн</w:t>
      </w:r>
      <w:r w:rsidR="00106D40" w:rsidRPr="00106D40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106D40">
        <w:rPr>
          <w:rFonts w:ascii="Times New Roman" w:hAnsi="Times New Roman" w:cs="Times New Roman"/>
          <w:sz w:val="28"/>
          <w:szCs w:val="28"/>
        </w:rPr>
        <w:t xml:space="preserve">. Вкажіть </w:t>
      </w:r>
      <w:proofErr w:type="spellStart"/>
      <w:r w:rsidR="00106D40">
        <w:rPr>
          <w:rFonts w:ascii="Times New Roman" w:hAnsi="Times New Roman" w:cs="Times New Roman"/>
          <w:sz w:val="28"/>
          <w:szCs w:val="28"/>
        </w:rPr>
        <w:t>морфолочні</w:t>
      </w:r>
      <w:proofErr w:type="spellEnd"/>
      <w:r w:rsidR="00106D40">
        <w:rPr>
          <w:rFonts w:ascii="Times New Roman" w:hAnsi="Times New Roman" w:cs="Times New Roman"/>
          <w:sz w:val="28"/>
          <w:szCs w:val="28"/>
        </w:rPr>
        <w:t xml:space="preserve"> відмінності ЛРС.</w:t>
      </w:r>
    </w:p>
    <w:p w:rsidR="00B645D4" w:rsidRPr="001A003A" w:rsidRDefault="00B645D4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698C">
        <w:rPr>
          <w:rFonts w:ascii="Times New Roman" w:hAnsi="Times New Roman" w:cs="Times New Roman"/>
          <w:sz w:val="28"/>
          <w:szCs w:val="28"/>
          <w:lang w:val="ru-RU"/>
        </w:rPr>
        <w:t>Навед</w:t>
      </w:r>
      <w:r w:rsidRPr="004E698C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4E698C">
        <w:rPr>
          <w:rFonts w:ascii="Times New Roman" w:hAnsi="Times New Roman" w:cs="Times New Roman"/>
          <w:sz w:val="28"/>
          <w:szCs w:val="28"/>
        </w:rPr>
        <w:t xml:space="preserve"> анатомічні діагностичні ознаки ЛРС собачої </w:t>
      </w:r>
      <w:proofErr w:type="spellStart"/>
      <w:r w:rsidRPr="004E698C">
        <w:rPr>
          <w:rFonts w:ascii="Times New Roman" w:hAnsi="Times New Roman" w:cs="Times New Roman"/>
          <w:sz w:val="28"/>
          <w:szCs w:val="28"/>
        </w:rPr>
        <w:t>кропови</w:t>
      </w:r>
      <w:proofErr w:type="spellEnd"/>
      <w:r w:rsidRPr="004E698C">
        <w:rPr>
          <w:rFonts w:ascii="Times New Roman" w:hAnsi="Times New Roman" w:cs="Times New Roman"/>
          <w:sz w:val="28"/>
          <w:szCs w:val="28"/>
        </w:rPr>
        <w:t>,</w:t>
      </w:r>
      <w:r w:rsidR="004E698C" w:rsidRPr="004E698C">
        <w:rPr>
          <w:rFonts w:ascii="Times New Roman" w:hAnsi="Times New Roman" w:cs="Times New Roman"/>
          <w:sz w:val="28"/>
          <w:szCs w:val="28"/>
        </w:rPr>
        <w:t xml:space="preserve"> хвоща польового, череди </w:t>
      </w:r>
      <w:proofErr w:type="spellStart"/>
      <w:r w:rsidR="004E698C" w:rsidRPr="004E698C">
        <w:rPr>
          <w:rFonts w:ascii="Times New Roman" w:hAnsi="Times New Roman" w:cs="Times New Roman"/>
          <w:sz w:val="28"/>
          <w:szCs w:val="28"/>
        </w:rPr>
        <w:t>трироздільної</w:t>
      </w:r>
      <w:proofErr w:type="spellEnd"/>
      <w:r w:rsidR="004E698C" w:rsidRPr="004E698C">
        <w:rPr>
          <w:rFonts w:ascii="Times New Roman" w:hAnsi="Times New Roman" w:cs="Times New Roman"/>
          <w:sz w:val="28"/>
          <w:szCs w:val="28"/>
        </w:rPr>
        <w:t>, вовчуга польового.</w:t>
      </w:r>
    </w:p>
    <w:p w:rsidR="001A003A" w:rsidRPr="001A003A" w:rsidRDefault="001A003A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03A">
        <w:rPr>
          <w:rFonts w:ascii="Times New Roman" w:hAnsi="Times New Roman" w:cs="Times New Roman"/>
          <w:sz w:val="28"/>
          <w:szCs w:val="28"/>
        </w:rPr>
        <w:t xml:space="preserve">Вкажіть особливості заготівлі, первинної обробки, умови сушіння і зберігання ЛРС, що містить </w:t>
      </w:r>
      <w:proofErr w:type="spellStart"/>
      <w:r w:rsidRPr="001A003A">
        <w:rPr>
          <w:rFonts w:ascii="Times New Roman" w:hAnsi="Times New Roman" w:cs="Times New Roman"/>
          <w:sz w:val="28"/>
          <w:szCs w:val="28"/>
        </w:rPr>
        <w:t>флавоноїди</w:t>
      </w:r>
      <w:proofErr w:type="spellEnd"/>
      <w:r w:rsidRPr="001A003A">
        <w:rPr>
          <w:rFonts w:ascii="Times New Roman" w:hAnsi="Times New Roman" w:cs="Times New Roman"/>
          <w:sz w:val="28"/>
          <w:szCs w:val="28"/>
        </w:rPr>
        <w:t>.</w:t>
      </w:r>
    </w:p>
    <w:p w:rsidR="009426CF" w:rsidRDefault="009426CF" w:rsidP="00EF58F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9426CF" w:rsidRPr="00D64560" w:rsidRDefault="00D64560" w:rsidP="005664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4560">
        <w:rPr>
          <w:rFonts w:ascii="Times New Roman" w:hAnsi="Times New Roman" w:cs="Times New Roman"/>
          <w:sz w:val="28"/>
          <w:szCs w:val="28"/>
        </w:rPr>
        <w:t xml:space="preserve">Вкажіть </w:t>
      </w:r>
      <w:r w:rsidRPr="00D64560">
        <w:rPr>
          <w:rFonts w:ascii="Times New Roman" w:hAnsi="Times New Roman" w:cs="Times New Roman"/>
          <w:bCs/>
          <w:sz w:val="28"/>
          <w:szCs w:val="28"/>
        </w:rPr>
        <w:t>анатомічні діагностичні ознаки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0"/>
        <w:gridCol w:w="4931"/>
      </w:tblGrid>
      <w:tr w:rsidR="0008490E" w:rsidRPr="00D00102" w:rsidTr="0081729A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E" w:rsidRPr="00D00102" w:rsidRDefault="0008490E" w:rsidP="007247CC">
            <w:pPr>
              <w:pStyle w:val="a0"/>
              <w:widowControl w:val="0"/>
              <w:spacing w:after="0"/>
              <w:jc w:val="center"/>
              <w:rPr>
                <w:bCs/>
                <w:lang w:val="uk-UA"/>
              </w:rPr>
            </w:pPr>
            <w:r w:rsidRPr="00D00102">
              <w:rPr>
                <w:noProof/>
                <w:lang w:eastAsia="ru-RU"/>
              </w:rPr>
              <w:drawing>
                <wp:inline distT="0" distB="0" distL="0" distR="0">
                  <wp:extent cx="2196000" cy="1433843"/>
                  <wp:effectExtent l="0" t="0" r="0" b="0"/>
                  <wp:docPr id="1" name="Рисунок 1" descr="пустрыник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устрыник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836" cy="144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0E" w:rsidRPr="00D00102" w:rsidRDefault="0008490E" w:rsidP="007247CC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 xml:space="preserve">Анатомічні діагностичні ознаки </w:t>
            </w:r>
            <w:r w:rsidR="00D64560" w:rsidRPr="00D00102">
              <w:rPr>
                <w:bCs/>
                <w:lang w:val="uk-UA"/>
              </w:rPr>
              <w:t xml:space="preserve">собачої кропиви </w:t>
            </w:r>
            <w:r w:rsidRPr="00D00102">
              <w:rPr>
                <w:bCs/>
                <w:lang w:val="uk-UA"/>
              </w:rPr>
              <w:t xml:space="preserve">листя </w:t>
            </w:r>
          </w:p>
          <w:p w:rsidR="0008490E" w:rsidRPr="00D00102" w:rsidRDefault="0008490E" w:rsidP="007247CC">
            <w:pPr>
              <w:pStyle w:val="a0"/>
              <w:widowControl w:val="0"/>
              <w:spacing w:after="0"/>
              <w:jc w:val="both"/>
              <w:rPr>
                <w:bCs/>
                <w:sz w:val="20"/>
                <w:szCs w:val="20"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>1.</w:t>
            </w:r>
            <w:r w:rsidRPr="00D00102">
              <w:rPr>
                <w:sz w:val="20"/>
                <w:szCs w:val="20"/>
                <w:lang w:val="uk-UA"/>
              </w:rPr>
              <w:t xml:space="preserve"> – </w:t>
            </w:r>
          </w:p>
          <w:p w:rsidR="0008490E" w:rsidRPr="00D00102" w:rsidRDefault="0008490E" w:rsidP="007247CC">
            <w:pPr>
              <w:pStyle w:val="a0"/>
              <w:widowControl w:val="0"/>
              <w:spacing w:after="0"/>
              <w:jc w:val="both"/>
              <w:rPr>
                <w:bCs/>
                <w:sz w:val="20"/>
                <w:szCs w:val="20"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>2.</w:t>
            </w:r>
            <w:r w:rsidRPr="00D00102">
              <w:rPr>
                <w:sz w:val="20"/>
                <w:szCs w:val="20"/>
                <w:lang w:val="uk-UA"/>
              </w:rPr>
              <w:t xml:space="preserve"> – </w:t>
            </w:r>
          </w:p>
          <w:p w:rsidR="0008490E" w:rsidRPr="00D00102" w:rsidRDefault="0008490E" w:rsidP="007247CC">
            <w:pPr>
              <w:pStyle w:val="a0"/>
              <w:widowControl w:val="0"/>
              <w:spacing w:after="0"/>
              <w:jc w:val="both"/>
              <w:rPr>
                <w:bCs/>
                <w:sz w:val="20"/>
                <w:szCs w:val="20"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>3.</w:t>
            </w:r>
            <w:r w:rsidRPr="00D00102">
              <w:rPr>
                <w:sz w:val="20"/>
                <w:szCs w:val="20"/>
                <w:lang w:val="uk-UA"/>
              </w:rPr>
              <w:t xml:space="preserve"> – </w:t>
            </w:r>
          </w:p>
          <w:p w:rsidR="0008490E" w:rsidRPr="00D00102" w:rsidRDefault="0008490E" w:rsidP="007247CC">
            <w:pPr>
              <w:pStyle w:val="a0"/>
              <w:widowControl w:val="0"/>
              <w:spacing w:after="0"/>
              <w:jc w:val="both"/>
              <w:rPr>
                <w:bCs/>
                <w:sz w:val="20"/>
                <w:szCs w:val="20"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>4.</w:t>
            </w:r>
            <w:r w:rsidRPr="00D00102">
              <w:rPr>
                <w:sz w:val="20"/>
                <w:szCs w:val="20"/>
                <w:lang w:val="uk-UA"/>
              </w:rPr>
              <w:t xml:space="preserve"> – </w:t>
            </w:r>
          </w:p>
          <w:p w:rsidR="00D64560" w:rsidRDefault="0008490E" w:rsidP="00D64560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>5.</w:t>
            </w:r>
            <w:r w:rsidRPr="00D00102">
              <w:rPr>
                <w:sz w:val="20"/>
                <w:szCs w:val="20"/>
                <w:lang w:val="uk-UA"/>
              </w:rPr>
              <w:t xml:space="preserve"> </w:t>
            </w:r>
          </w:p>
          <w:p w:rsidR="0008490E" w:rsidRPr="00D00102" w:rsidRDefault="0008490E" w:rsidP="00D64560">
            <w:pPr>
              <w:pStyle w:val="a0"/>
              <w:widowControl w:val="0"/>
              <w:spacing w:after="0"/>
              <w:jc w:val="both"/>
              <w:rPr>
                <w:bCs/>
                <w:lang w:val="uk-UA"/>
              </w:rPr>
            </w:pPr>
            <w:r w:rsidRPr="00D00102">
              <w:rPr>
                <w:bCs/>
                <w:sz w:val="20"/>
                <w:szCs w:val="20"/>
                <w:lang w:val="uk-UA"/>
              </w:rPr>
              <w:t>6.</w:t>
            </w:r>
            <w:r w:rsidRPr="00D00102">
              <w:rPr>
                <w:sz w:val="20"/>
                <w:szCs w:val="20"/>
                <w:lang w:val="uk-UA"/>
              </w:rPr>
              <w:t xml:space="preserve"> – </w:t>
            </w:r>
          </w:p>
        </w:tc>
      </w:tr>
      <w:tr w:rsidR="005F0CF2" w:rsidRPr="00D00102" w:rsidTr="0081729A">
        <w:trPr>
          <w:trHeight w:val="160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F2" w:rsidRPr="00D00102" w:rsidRDefault="005F0CF2" w:rsidP="007247CC">
            <w:pPr>
              <w:pStyle w:val="a0"/>
              <w:widowControl w:val="0"/>
              <w:spacing w:after="0"/>
              <w:jc w:val="center"/>
              <w:rPr>
                <w:noProof/>
                <w:lang w:val="uk-UA" w:eastAsia="ru-RU"/>
              </w:rPr>
            </w:pPr>
            <w:r w:rsidRPr="00D00102">
              <w:rPr>
                <w:noProof/>
                <w:lang w:eastAsia="ru-RU"/>
              </w:rPr>
              <w:drawing>
                <wp:inline distT="0" distB="0" distL="0" distR="0">
                  <wp:extent cx="2288449" cy="1569600"/>
                  <wp:effectExtent l="0" t="0" r="0" b="0"/>
                  <wp:docPr id="2" name="Рисунок 2" descr="горец-перечный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орец-перечный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74" cy="1585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9A" w:rsidRPr="00D00102" w:rsidRDefault="0081729A" w:rsidP="0081729A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bCs/>
                <w:lang w:val="uk-UA"/>
              </w:rPr>
              <w:t>Анатомічні діагностичні ознаки гірчака перцевого</w:t>
            </w:r>
            <w:r w:rsidR="008D01D2" w:rsidRPr="00D00102">
              <w:rPr>
                <w:bCs/>
                <w:lang w:val="uk-UA"/>
              </w:rPr>
              <w:t xml:space="preserve"> листя</w:t>
            </w:r>
          </w:p>
          <w:p w:rsidR="0081729A" w:rsidRPr="00D00102" w:rsidRDefault="0081729A" w:rsidP="0081729A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1 – </w:t>
            </w:r>
          </w:p>
          <w:p w:rsidR="0081729A" w:rsidRPr="00D00102" w:rsidRDefault="0081729A" w:rsidP="0081729A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2 – </w:t>
            </w:r>
          </w:p>
          <w:p w:rsidR="0081729A" w:rsidRPr="00D00102" w:rsidRDefault="0081729A" w:rsidP="0081729A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3 – </w:t>
            </w:r>
          </w:p>
          <w:p w:rsidR="0081729A" w:rsidRPr="00D00102" w:rsidRDefault="0081729A" w:rsidP="0081729A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4 – </w:t>
            </w:r>
          </w:p>
          <w:p w:rsidR="0081729A" w:rsidRPr="00D00102" w:rsidRDefault="0081729A" w:rsidP="0081729A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5 – </w:t>
            </w:r>
          </w:p>
          <w:p w:rsidR="0081729A" w:rsidRPr="00D00102" w:rsidRDefault="0081729A" w:rsidP="0081729A">
            <w:pPr>
              <w:pStyle w:val="a0"/>
              <w:widowControl w:val="0"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6 – </w:t>
            </w:r>
          </w:p>
          <w:p w:rsidR="005F0CF2" w:rsidRPr="00D00102" w:rsidRDefault="0081729A" w:rsidP="0081729A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D00102">
              <w:rPr>
                <w:sz w:val="20"/>
                <w:szCs w:val="20"/>
                <w:lang w:val="uk-UA"/>
              </w:rPr>
              <w:t xml:space="preserve">7 – </w:t>
            </w:r>
          </w:p>
        </w:tc>
      </w:tr>
      <w:tr w:rsidR="00D64560" w:rsidRPr="00D00102" w:rsidTr="0081729A">
        <w:trPr>
          <w:trHeight w:val="160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60" w:rsidRPr="00D00102" w:rsidRDefault="00D64560" w:rsidP="007247CC">
            <w:pPr>
              <w:pStyle w:val="a0"/>
              <w:widowControl w:val="0"/>
              <w:spacing w:after="0"/>
              <w:jc w:val="center"/>
              <w:rPr>
                <w:noProof/>
                <w:lang w:val="uk-UA" w:eastAsia="ru-RU"/>
              </w:rPr>
            </w:pPr>
            <w:r w:rsidRPr="00D00102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171520" cy="1252800"/>
                  <wp:effectExtent l="0" t="0" r="635" b="5080"/>
                  <wp:docPr id="3" name="Рисунок 3" descr="горец-почечуйный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орец-почечуйный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78" cy="127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60" w:rsidRPr="0081729A" w:rsidRDefault="00D64560" w:rsidP="00D64560">
            <w:pPr>
              <w:pStyle w:val="a0"/>
              <w:widowControl w:val="0"/>
              <w:spacing w:after="0"/>
              <w:ind w:firstLine="27"/>
              <w:rPr>
                <w:bCs/>
                <w:lang w:val="uk-UA"/>
              </w:rPr>
            </w:pPr>
            <w:r w:rsidRPr="0081729A">
              <w:rPr>
                <w:bCs/>
                <w:lang w:val="uk-UA"/>
              </w:rPr>
              <w:t xml:space="preserve">Анатомічні діагностичні ознаки гірчака </w:t>
            </w:r>
            <w:proofErr w:type="spellStart"/>
            <w:r w:rsidRPr="0081729A">
              <w:rPr>
                <w:bCs/>
                <w:lang w:val="uk-UA"/>
              </w:rPr>
              <w:t>почечуйного</w:t>
            </w:r>
            <w:proofErr w:type="spellEnd"/>
            <w:r w:rsidR="008D01D2" w:rsidRPr="0081729A">
              <w:rPr>
                <w:bCs/>
                <w:lang w:val="uk-UA"/>
              </w:rPr>
              <w:t xml:space="preserve"> листя</w:t>
            </w:r>
          </w:p>
          <w:p w:rsidR="00D64560" w:rsidRPr="0081146B" w:rsidRDefault="00D64560" w:rsidP="00D6456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46B">
              <w:rPr>
                <w:rFonts w:ascii="Times New Roman" w:hAnsi="Times New Roman" w:cs="Times New Roman"/>
                <w:sz w:val="20"/>
                <w:szCs w:val="20"/>
              </w:rPr>
              <w:t xml:space="preserve">1 –  </w:t>
            </w:r>
          </w:p>
          <w:p w:rsidR="00D64560" w:rsidRPr="0081146B" w:rsidRDefault="00D64560" w:rsidP="00D6456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46B">
              <w:rPr>
                <w:rFonts w:ascii="Times New Roman" w:hAnsi="Times New Roman" w:cs="Times New Roman"/>
                <w:sz w:val="20"/>
                <w:szCs w:val="20"/>
              </w:rPr>
              <w:t xml:space="preserve">2 –  </w:t>
            </w:r>
          </w:p>
          <w:p w:rsidR="00D64560" w:rsidRPr="0081146B" w:rsidRDefault="00D64560" w:rsidP="00D6456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46B">
              <w:rPr>
                <w:rFonts w:ascii="Times New Roman" w:hAnsi="Times New Roman" w:cs="Times New Roman"/>
                <w:sz w:val="20"/>
                <w:szCs w:val="20"/>
              </w:rPr>
              <w:t xml:space="preserve">3 –  </w:t>
            </w:r>
          </w:p>
          <w:p w:rsidR="00D64560" w:rsidRPr="0081146B" w:rsidRDefault="00D64560" w:rsidP="00D6456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46B">
              <w:rPr>
                <w:rFonts w:ascii="Times New Roman" w:hAnsi="Times New Roman" w:cs="Times New Roman"/>
                <w:sz w:val="20"/>
                <w:szCs w:val="20"/>
              </w:rPr>
              <w:t xml:space="preserve">4 – </w:t>
            </w:r>
          </w:p>
          <w:p w:rsidR="00D64560" w:rsidRPr="0081146B" w:rsidRDefault="00D64560" w:rsidP="00D6456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46B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</w:p>
          <w:p w:rsidR="00D64560" w:rsidRPr="00D00102" w:rsidRDefault="00D64560" w:rsidP="00D64560">
            <w:pPr>
              <w:pStyle w:val="a0"/>
              <w:widowControl w:val="0"/>
              <w:spacing w:after="0"/>
              <w:rPr>
                <w:bCs/>
                <w:lang w:val="uk-UA"/>
              </w:rPr>
            </w:pPr>
            <w:r w:rsidRPr="0081146B">
              <w:rPr>
                <w:sz w:val="20"/>
                <w:szCs w:val="20"/>
              </w:rPr>
              <w:t>6 –</w:t>
            </w:r>
            <w:r w:rsidRPr="0081729A">
              <w:t xml:space="preserve"> </w:t>
            </w:r>
          </w:p>
        </w:tc>
      </w:tr>
    </w:tbl>
    <w:p w:rsidR="009426CF" w:rsidRDefault="009426CF" w:rsidP="00574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94" w:rsidRDefault="00566494" w:rsidP="0056649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</w:t>
      </w:r>
      <w:r>
        <w:rPr>
          <w:rFonts w:ascii="Times New Roman" w:hAnsi="Times New Roman" w:cs="Times New Roman"/>
          <w:sz w:val="28"/>
          <w:szCs w:val="28"/>
          <w:lang w:val="ru-RU"/>
        </w:rPr>
        <w:t>БАР</w:t>
      </w:r>
      <w:r>
        <w:rPr>
          <w:rFonts w:ascii="Times New Roman" w:hAnsi="Times New Roman" w:cs="Times New Roman"/>
          <w:sz w:val="28"/>
          <w:szCs w:val="28"/>
        </w:rPr>
        <w:t xml:space="preserve"> з її правильною назвою.</w:t>
      </w:r>
    </w:p>
    <w:tbl>
      <w:tblPr>
        <w:tblStyle w:val="a8"/>
        <w:tblW w:w="5000" w:type="pct"/>
        <w:tblLook w:val="04A0"/>
      </w:tblPr>
      <w:tblGrid>
        <w:gridCol w:w="812"/>
        <w:gridCol w:w="5277"/>
        <w:gridCol w:w="3482"/>
      </w:tblGrid>
      <w:tr w:rsidR="00566494" w:rsidTr="0081146B">
        <w:tc>
          <w:tcPr>
            <w:tcW w:w="424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7" w:type="pct"/>
            <w:vAlign w:val="center"/>
          </w:tcPr>
          <w:p w:rsidR="00566494" w:rsidRP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БАР</w:t>
            </w:r>
          </w:p>
        </w:tc>
        <w:tc>
          <w:tcPr>
            <w:tcW w:w="1819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</w:tr>
      <w:tr w:rsidR="00566494" w:rsidTr="0081146B">
        <w:tc>
          <w:tcPr>
            <w:tcW w:w="424" w:type="pct"/>
            <w:vAlign w:val="center"/>
          </w:tcPr>
          <w:p w:rsidR="00566494" w:rsidRPr="00E12CFD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pct"/>
            <w:vAlign w:val="center"/>
          </w:tcPr>
          <w:p w:rsidR="00566494" w:rsidRDefault="005F0CF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71015" cy="76390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Pr="005F0CF2" w:rsidRDefault="005F0CF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Аурон</w:t>
            </w:r>
            <w:proofErr w:type="spellEnd"/>
          </w:p>
        </w:tc>
      </w:tr>
      <w:tr w:rsidR="00566494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pct"/>
            <w:vAlign w:val="center"/>
          </w:tcPr>
          <w:p w:rsidR="00566494" w:rsidRDefault="005F0CF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97025" cy="1157605"/>
                  <wp:effectExtent l="0" t="0" r="317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Pr="005F0CF2" w:rsidRDefault="003955D1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Флавон</w:t>
            </w:r>
          </w:p>
        </w:tc>
      </w:tr>
      <w:tr w:rsidR="00566494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pct"/>
            <w:vAlign w:val="center"/>
          </w:tcPr>
          <w:p w:rsidR="00566494" w:rsidRDefault="005F0CF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70025" cy="1157605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Default="003955D1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ідрохалкон</w:t>
            </w:r>
            <w:proofErr w:type="spellEnd"/>
          </w:p>
        </w:tc>
      </w:tr>
      <w:tr w:rsidR="00566494" w:rsidTr="0081146B"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pct"/>
            <w:vAlign w:val="center"/>
          </w:tcPr>
          <w:p w:rsidR="00566494" w:rsidRDefault="005F0CF2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527810" cy="92583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  <w:vAlign w:val="center"/>
          </w:tcPr>
          <w:p w:rsidR="00566494" w:rsidRDefault="003955D1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Рутин</w:t>
            </w:r>
          </w:p>
        </w:tc>
      </w:tr>
      <w:tr w:rsidR="00566494" w:rsidTr="0081146B">
        <w:trPr>
          <w:trHeight w:val="172"/>
        </w:trPr>
        <w:tc>
          <w:tcPr>
            <w:tcW w:w="424" w:type="pct"/>
            <w:vAlign w:val="center"/>
          </w:tcPr>
          <w:p w:rsidR="00566494" w:rsidRDefault="00566494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pct"/>
            <w:vAlign w:val="center"/>
          </w:tcPr>
          <w:p w:rsidR="00566494" w:rsidRDefault="00AF69C9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02">
              <w:rPr>
                <w:i/>
                <w:sz w:val="28"/>
                <w:szCs w:val="28"/>
              </w:rPr>
              <w:object w:dxaOrig="3855" w:dyaOrig="1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1pt;height:71.15pt" o:ole="">
                  <v:imagedata r:id="rId13" o:title=""/>
                </v:shape>
                <o:OLEObject Type="Embed" ProgID="ISISServer" ShapeID="_x0000_i1025" DrawAspect="Content" ObjectID="_1647018071" r:id="rId14"/>
              </w:object>
            </w:r>
          </w:p>
        </w:tc>
        <w:tc>
          <w:tcPr>
            <w:tcW w:w="1819" w:type="pct"/>
            <w:vAlign w:val="center"/>
          </w:tcPr>
          <w:p w:rsidR="00566494" w:rsidRDefault="003955D1" w:rsidP="007247C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Катехін</w:t>
            </w:r>
          </w:p>
        </w:tc>
      </w:tr>
    </w:tbl>
    <w:p w:rsidR="001E4D10" w:rsidRDefault="001E4D10"/>
    <w:p w:rsidR="005F0CF2" w:rsidRPr="005F0CF2" w:rsidRDefault="005F0CF2" w:rsidP="005F0CF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CF2">
        <w:rPr>
          <w:rFonts w:ascii="Times New Roman" w:hAnsi="Times New Roman" w:cs="Times New Roman"/>
          <w:sz w:val="28"/>
          <w:szCs w:val="28"/>
        </w:rPr>
        <w:t xml:space="preserve">Для лікування захворювань нирок лікар порадив вживати настій з квіток волошки синьої. Вкажіть яку частину лікарської рослинної сировини заготовляють:  </w:t>
      </w:r>
    </w:p>
    <w:p w:rsidR="005F0CF2" w:rsidRDefault="005F0CF2" w:rsidP="005F0CF2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0CF2">
        <w:rPr>
          <w:rFonts w:ascii="Times New Roman" w:hAnsi="Times New Roman" w:cs="Times New Roman"/>
          <w:sz w:val="28"/>
          <w:szCs w:val="28"/>
        </w:rPr>
        <w:lastRenderedPageBreak/>
        <w:t xml:space="preserve">A </w:t>
      </w:r>
      <w:r w:rsidR="00B90E26" w:rsidRPr="005F0CF2">
        <w:rPr>
          <w:rFonts w:ascii="Times New Roman" w:hAnsi="Times New Roman" w:cs="Times New Roman"/>
          <w:sz w:val="28"/>
          <w:szCs w:val="28"/>
        </w:rPr>
        <w:t>Квітколоже та обгортка</w:t>
      </w:r>
    </w:p>
    <w:p w:rsidR="005F0CF2" w:rsidRDefault="005F0CF2" w:rsidP="005F0CF2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0CF2">
        <w:rPr>
          <w:rFonts w:ascii="Times New Roman" w:hAnsi="Times New Roman" w:cs="Times New Roman"/>
          <w:sz w:val="28"/>
          <w:szCs w:val="28"/>
        </w:rPr>
        <w:t xml:space="preserve">B  </w:t>
      </w:r>
      <w:r w:rsidR="00B90E26" w:rsidRPr="005F0CF2">
        <w:rPr>
          <w:rFonts w:ascii="Times New Roman" w:hAnsi="Times New Roman" w:cs="Times New Roman"/>
          <w:sz w:val="28"/>
          <w:szCs w:val="28"/>
        </w:rPr>
        <w:t>Крайові квітки (частково захоплюючи й внутрішні – до 40 %)</w:t>
      </w:r>
    </w:p>
    <w:p w:rsidR="005F0CF2" w:rsidRPr="005F0CF2" w:rsidRDefault="005F0CF2" w:rsidP="005F0CF2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F0CF2">
        <w:rPr>
          <w:rFonts w:ascii="Times New Roman" w:hAnsi="Times New Roman" w:cs="Times New Roman"/>
          <w:sz w:val="28"/>
          <w:szCs w:val="28"/>
        </w:rPr>
        <w:t xml:space="preserve">C  Квіткові кошики без квітконосу </w:t>
      </w:r>
    </w:p>
    <w:p w:rsidR="00254961" w:rsidRDefault="005F0CF2" w:rsidP="005F0CF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0CF2">
        <w:rPr>
          <w:rFonts w:ascii="Times New Roman" w:hAnsi="Times New Roman" w:cs="Times New Roman"/>
          <w:sz w:val="28"/>
          <w:szCs w:val="28"/>
        </w:rPr>
        <w:t>D  Квіткові кошики з залишками квітконосів (не довших ніж 3 см)</w:t>
      </w:r>
    </w:p>
    <w:p w:rsidR="009D1550" w:rsidRDefault="005F0CF2" w:rsidP="005F0CF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F0CF2">
        <w:rPr>
          <w:rFonts w:ascii="Times New Roman" w:hAnsi="Times New Roman" w:cs="Times New Roman"/>
          <w:sz w:val="28"/>
          <w:szCs w:val="28"/>
        </w:rPr>
        <w:t>E Квітки з залишком стебла (не більше 1 см)</w:t>
      </w:r>
    </w:p>
    <w:p w:rsidR="005F0CF2" w:rsidRDefault="005F0CF2" w:rsidP="00702463">
      <w:pPr>
        <w:tabs>
          <w:tab w:val="left" w:pos="51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E26" w:rsidRPr="00676046" w:rsidRDefault="00B90E26" w:rsidP="00326C1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На аналіз одержана лікарська рослинна сировина: квіти в кошиках діаметром до 4см. Крайові квіти безстатеві, сині, лійкоподібні; внутрішні – двостатеві, фіолетові, трубчасті. Яка рослина має дані ознаки?   </w:t>
      </w:r>
    </w:p>
    <w:p w:rsidR="00B90E26" w:rsidRDefault="00B90E26" w:rsidP="00B90E26">
      <w:pPr>
        <w:rPr>
          <w:rFonts w:ascii="Times New Roman" w:hAnsi="Times New Roman" w:cs="Times New Roman"/>
          <w:sz w:val="28"/>
          <w:szCs w:val="28"/>
        </w:rPr>
      </w:pPr>
      <w:r w:rsidRPr="00B90E2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9C4505" w:rsidRPr="00B90E26">
        <w:rPr>
          <w:rFonts w:ascii="Times New Roman" w:hAnsi="Times New Roman" w:cs="Times New Roman"/>
          <w:sz w:val="28"/>
          <w:szCs w:val="28"/>
        </w:rPr>
        <w:t>Viola</w:t>
      </w:r>
      <w:proofErr w:type="spellEnd"/>
      <w:r w:rsidR="009C4505" w:rsidRPr="00B9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505" w:rsidRPr="00B90E26">
        <w:rPr>
          <w:rFonts w:ascii="Times New Roman" w:hAnsi="Times New Roman" w:cs="Times New Roman"/>
          <w:sz w:val="28"/>
          <w:szCs w:val="28"/>
        </w:rPr>
        <w:t>tricolor</w:t>
      </w:r>
      <w:proofErr w:type="spellEnd"/>
    </w:p>
    <w:p w:rsidR="00B90E26" w:rsidRDefault="00B90E26" w:rsidP="00B90E26">
      <w:pPr>
        <w:rPr>
          <w:rFonts w:ascii="Times New Roman" w:hAnsi="Times New Roman" w:cs="Times New Roman"/>
          <w:sz w:val="28"/>
          <w:szCs w:val="28"/>
        </w:rPr>
      </w:pPr>
      <w:r w:rsidRPr="00B90E26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B90E26">
        <w:rPr>
          <w:rFonts w:ascii="Times New Roman" w:hAnsi="Times New Roman" w:cs="Times New Roman"/>
          <w:sz w:val="28"/>
          <w:szCs w:val="28"/>
        </w:rPr>
        <w:t>Solidago</w:t>
      </w:r>
      <w:proofErr w:type="spellEnd"/>
      <w:r w:rsidRPr="00B9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E26">
        <w:rPr>
          <w:rFonts w:ascii="Times New Roman" w:hAnsi="Times New Roman" w:cs="Times New Roman"/>
          <w:sz w:val="28"/>
          <w:szCs w:val="28"/>
        </w:rPr>
        <w:t>virgaurea</w:t>
      </w:r>
      <w:proofErr w:type="spellEnd"/>
      <w:r w:rsidRPr="00B9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26" w:rsidRDefault="00B90E26" w:rsidP="00B90E26">
      <w:pPr>
        <w:rPr>
          <w:rFonts w:ascii="Times New Roman" w:hAnsi="Times New Roman" w:cs="Times New Roman"/>
          <w:sz w:val="28"/>
          <w:szCs w:val="28"/>
        </w:rPr>
      </w:pPr>
      <w:r w:rsidRPr="00B90E26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B90E26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B9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E26">
        <w:rPr>
          <w:rFonts w:ascii="Times New Roman" w:hAnsi="Times New Roman" w:cs="Times New Roman"/>
          <w:sz w:val="28"/>
          <w:szCs w:val="28"/>
        </w:rPr>
        <w:t>persicaria</w:t>
      </w:r>
      <w:proofErr w:type="spellEnd"/>
      <w:r w:rsidRPr="00B9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26" w:rsidRDefault="00B90E26" w:rsidP="00B90E26">
      <w:pPr>
        <w:rPr>
          <w:rFonts w:ascii="Times New Roman" w:hAnsi="Times New Roman" w:cs="Times New Roman"/>
          <w:sz w:val="28"/>
          <w:szCs w:val="28"/>
        </w:rPr>
      </w:pPr>
      <w:r w:rsidRPr="00B90E26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B90E26">
        <w:rPr>
          <w:rFonts w:ascii="Times New Roman" w:hAnsi="Times New Roman" w:cs="Times New Roman"/>
          <w:sz w:val="28"/>
          <w:szCs w:val="28"/>
        </w:rPr>
        <w:t>Scutellaria</w:t>
      </w:r>
      <w:proofErr w:type="spellEnd"/>
      <w:r w:rsidRPr="00B9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E26">
        <w:rPr>
          <w:rFonts w:ascii="Times New Roman" w:hAnsi="Times New Roman" w:cs="Times New Roman"/>
          <w:sz w:val="28"/>
          <w:szCs w:val="28"/>
        </w:rPr>
        <w:t>baicalensis</w:t>
      </w:r>
      <w:proofErr w:type="spellEnd"/>
      <w:r w:rsidRPr="00B9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E26" w:rsidRPr="00B90E26" w:rsidRDefault="00B90E26" w:rsidP="00B90E26">
      <w:pPr>
        <w:rPr>
          <w:rFonts w:ascii="Times New Roman" w:hAnsi="Times New Roman" w:cs="Times New Roman"/>
          <w:sz w:val="28"/>
          <w:szCs w:val="28"/>
        </w:rPr>
      </w:pPr>
      <w:r w:rsidRPr="00B90E26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9C4505" w:rsidRPr="00B90E26">
        <w:rPr>
          <w:rFonts w:ascii="Times New Roman" w:hAnsi="Times New Roman" w:cs="Times New Roman"/>
          <w:sz w:val="28"/>
          <w:szCs w:val="28"/>
        </w:rPr>
        <w:t>Centaurea</w:t>
      </w:r>
      <w:proofErr w:type="spellEnd"/>
      <w:r w:rsidR="009C4505" w:rsidRPr="00B90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4505" w:rsidRPr="00B90E26">
        <w:rPr>
          <w:rFonts w:ascii="Times New Roman" w:hAnsi="Times New Roman" w:cs="Times New Roman"/>
          <w:sz w:val="28"/>
          <w:szCs w:val="28"/>
        </w:rPr>
        <w:t>cyanus</w:t>
      </w:r>
      <w:proofErr w:type="spellEnd"/>
    </w:p>
    <w:p w:rsidR="00676046" w:rsidRDefault="00676046" w:rsidP="00FB72D3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На аналіз одержано ЛРС, що являє собою куски коренів циліндричної форми, різної довжини, покриті бурим поздовжньо зморшкуватим корком. Очищена сировина зовні від світло-жовтого до бурувато-жовтого кольору, злам світло-жовтий, дуже волокнистий. Запах слабий. Смак дуже солодкий, злегка подразнюючий. Визначить аналізовану ЛРС. </w:t>
      </w:r>
    </w:p>
    <w:p w:rsidR="000E0DC3" w:rsidRDefault="000E0DC3" w:rsidP="000E0DC3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Radices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Araliae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mandshuricae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Radices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Taraxaci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Radices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Berberidis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Radices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Glycyrrhizae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76046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Radices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046">
        <w:rPr>
          <w:rFonts w:ascii="Times New Roman" w:hAnsi="Times New Roman" w:cs="Times New Roman"/>
          <w:sz w:val="28"/>
          <w:szCs w:val="28"/>
        </w:rPr>
        <w:t>Ginseng</w:t>
      </w:r>
      <w:proofErr w:type="spellEnd"/>
      <w:r w:rsidRPr="006760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C18" w:rsidRDefault="00326C18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6C18" w:rsidRDefault="00326C18" w:rsidP="00326C18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Препарати квіток глоду призначають як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кардіотонічний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засіб. Доброякісність сировини характеризується вмістом:    </w:t>
      </w:r>
    </w:p>
    <w:p w:rsidR="000E0DC3" w:rsidRDefault="000E0DC3" w:rsidP="000E0DC3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Строфантидину</w:t>
      </w:r>
      <w:proofErr w:type="spellEnd"/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Пурпуреаглікозиду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Ланатозиду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C18" w:rsidRP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Гіперозиду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Адонітоксину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6C18" w:rsidRDefault="00326C18" w:rsidP="00326C18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”Мемоплант”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призначають хворим з порушенням мозкового кровообігу. Яка група біологічно активних речовин забезпечує таку фармакологічну дію?   </w:t>
      </w:r>
    </w:p>
    <w:p w:rsidR="000E0DC3" w:rsidRDefault="000E0DC3" w:rsidP="000E0DC3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Флавоноїди</w:t>
      </w:r>
      <w:proofErr w:type="spellEnd"/>
      <w:r w:rsidRPr="00326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B Алкалоїди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 C Серцеві глікозиди 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D Вітаміни   </w:t>
      </w:r>
    </w:p>
    <w:p w:rsidR="00326C18" w:rsidRDefault="00326C18" w:rsidP="00326C18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6C18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326C18">
        <w:rPr>
          <w:rFonts w:ascii="Times New Roman" w:hAnsi="Times New Roman" w:cs="Times New Roman"/>
          <w:sz w:val="28"/>
          <w:szCs w:val="28"/>
        </w:rPr>
        <w:t>Антраценпохідні</w:t>
      </w:r>
      <w:proofErr w:type="spellEnd"/>
    </w:p>
    <w:p w:rsidR="00676046" w:rsidRDefault="00676046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8658A" w:rsidRDefault="0048658A" w:rsidP="0048658A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58A">
        <w:rPr>
          <w:rFonts w:ascii="Times New Roman" w:hAnsi="Times New Roman" w:cs="Times New Roman"/>
          <w:sz w:val="28"/>
          <w:szCs w:val="28"/>
        </w:rPr>
        <w:t xml:space="preserve">На завод поступила партія сировини – </w:t>
      </w:r>
      <w:proofErr w:type="spellStart"/>
      <w:r w:rsidRPr="0048658A">
        <w:rPr>
          <w:rFonts w:ascii="Times New Roman" w:hAnsi="Times New Roman" w:cs="Times New Roman"/>
          <w:sz w:val="28"/>
          <w:szCs w:val="28"/>
        </w:rPr>
        <w:t>Radix</w:t>
      </w:r>
      <w:proofErr w:type="spellEnd"/>
      <w:r w:rsidRPr="00486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58A">
        <w:rPr>
          <w:rFonts w:ascii="Times New Roman" w:hAnsi="Times New Roman" w:cs="Times New Roman"/>
          <w:sz w:val="28"/>
          <w:szCs w:val="28"/>
        </w:rPr>
        <w:t>Ononidis</w:t>
      </w:r>
      <w:proofErr w:type="spellEnd"/>
      <w:r w:rsidRPr="0048658A">
        <w:rPr>
          <w:rFonts w:ascii="Times New Roman" w:hAnsi="Times New Roman" w:cs="Times New Roman"/>
          <w:sz w:val="28"/>
          <w:szCs w:val="28"/>
        </w:rPr>
        <w:t xml:space="preserve">, яка використовується для виготовлення настоянки. Кількісну стандартизацію цієї сировини проводять в перерахунку на: </w:t>
      </w:r>
    </w:p>
    <w:p w:rsidR="000E0DC3" w:rsidRDefault="000E0DC3" w:rsidP="000E0DC3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8658A" w:rsidRDefault="0048658A" w:rsidP="0048658A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658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48658A">
        <w:rPr>
          <w:rFonts w:ascii="Times New Roman" w:hAnsi="Times New Roman" w:cs="Times New Roman"/>
          <w:sz w:val="28"/>
          <w:szCs w:val="28"/>
        </w:rPr>
        <w:t>гіперозид</w:t>
      </w:r>
      <w:proofErr w:type="spellEnd"/>
    </w:p>
    <w:p w:rsidR="0048658A" w:rsidRDefault="0048658A" w:rsidP="0048658A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658A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48658A">
        <w:rPr>
          <w:rFonts w:ascii="Times New Roman" w:hAnsi="Times New Roman" w:cs="Times New Roman"/>
          <w:sz w:val="28"/>
          <w:szCs w:val="28"/>
        </w:rPr>
        <w:t>ононін</w:t>
      </w:r>
      <w:proofErr w:type="spellEnd"/>
    </w:p>
    <w:p w:rsidR="0048658A" w:rsidRDefault="0048658A" w:rsidP="0048658A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658A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48658A">
        <w:rPr>
          <w:rFonts w:ascii="Times New Roman" w:hAnsi="Times New Roman" w:cs="Times New Roman"/>
          <w:sz w:val="28"/>
          <w:szCs w:val="28"/>
        </w:rPr>
        <w:t>кверцетин</w:t>
      </w:r>
      <w:proofErr w:type="spellEnd"/>
      <w:r w:rsidRPr="004865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658A" w:rsidRDefault="0048658A" w:rsidP="0048658A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658A">
        <w:rPr>
          <w:rFonts w:ascii="Times New Roman" w:hAnsi="Times New Roman" w:cs="Times New Roman"/>
          <w:sz w:val="28"/>
          <w:szCs w:val="28"/>
        </w:rPr>
        <w:t xml:space="preserve">D рутин  </w:t>
      </w:r>
    </w:p>
    <w:p w:rsidR="0048658A" w:rsidRDefault="0048658A" w:rsidP="0048658A">
      <w:pPr>
        <w:pStyle w:val="a7"/>
        <w:tabs>
          <w:tab w:val="left" w:pos="51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8658A">
        <w:rPr>
          <w:rFonts w:ascii="Times New Roman" w:hAnsi="Times New Roman" w:cs="Times New Roman"/>
          <w:sz w:val="28"/>
          <w:szCs w:val="28"/>
        </w:rPr>
        <w:t>E алізарин</w:t>
      </w:r>
    </w:p>
    <w:p w:rsidR="0048658A" w:rsidRDefault="0048658A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C28DD" w:rsidRDefault="00BC28DD" w:rsidP="00A30898">
      <w:pPr>
        <w:pStyle w:val="a7"/>
        <w:numPr>
          <w:ilvl w:val="0"/>
          <w:numId w:val="4"/>
        </w:numPr>
        <w:tabs>
          <w:tab w:val="left" w:pos="51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 xml:space="preserve">При хімічному аналізі квіток цмину отримали позитивний результат </w:t>
      </w:r>
      <w:proofErr w:type="spellStart"/>
      <w:r w:rsidRPr="00BC28DD">
        <w:rPr>
          <w:rFonts w:ascii="Times New Roman" w:hAnsi="Times New Roman" w:cs="Times New Roman"/>
          <w:sz w:val="28"/>
          <w:szCs w:val="28"/>
        </w:rPr>
        <w:t>ціанідинової</w:t>
      </w:r>
      <w:proofErr w:type="spellEnd"/>
      <w:r w:rsidRPr="00BC28DD">
        <w:rPr>
          <w:rFonts w:ascii="Times New Roman" w:hAnsi="Times New Roman" w:cs="Times New Roman"/>
          <w:sz w:val="28"/>
          <w:szCs w:val="28"/>
        </w:rPr>
        <w:t xml:space="preserve"> проби. Про наявність якого класу сполук свідчить проведена реакція: </w:t>
      </w:r>
    </w:p>
    <w:p w:rsidR="000E0DC3" w:rsidRDefault="000E0DC3" w:rsidP="000E0DC3">
      <w:pPr>
        <w:pStyle w:val="a7"/>
        <w:tabs>
          <w:tab w:val="left" w:pos="5148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C28DD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 xml:space="preserve">A </w:t>
      </w:r>
      <w:r w:rsidR="00A30898" w:rsidRPr="00BC28DD">
        <w:rPr>
          <w:rFonts w:ascii="Times New Roman" w:hAnsi="Times New Roman" w:cs="Times New Roman"/>
          <w:sz w:val="28"/>
          <w:szCs w:val="28"/>
        </w:rPr>
        <w:t>сапонінів</w:t>
      </w:r>
    </w:p>
    <w:p w:rsidR="00BC28DD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 xml:space="preserve">B антоціанів  </w:t>
      </w:r>
    </w:p>
    <w:p w:rsidR="00BC28DD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 xml:space="preserve">C кумаринів  </w:t>
      </w:r>
    </w:p>
    <w:p w:rsidR="00BC28DD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="00A30898" w:rsidRPr="00BC28DD">
        <w:rPr>
          <w:rFonts w:ascii="Times New Roman" w:hAnsi="Times New Roman" w:cs="Times New Roman"/>
          <w:sz w:val="28"/>
          <w:szCs w:val="28"/>
        </w:rPr>
        <w:t>флавоноїдів</w:t>
      </w:r>
      <w:proofErr w:type="spellEnd"/>
    </w:p>
    <w:p w:rsidR="00BC28DD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8DD">
        <w:rPr>
          <w:rFonts w:ascii="Times New Roman" w:hAnsi="Times New Roman" w:cs="Times New Roman"/>
          <w:sz w:val="28"/>
          <w:szCs w:val="28"/>
        </w:rPr>
        <w:t>E алкалоїдів</w:t>
      </w:r>
    </w:p>
    <w:p w:rsidR="00BC28DD" w:rsidRPr="00676046" w:rsidRDefault="00BC28DD" w:rsidP="00676046">
      <w:pPr>
        <w:pStyle w:val="a7"/>
        <w:tabs>
          <w:tab w:val="left" w:pos="514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E4D10" w:rsidRPr="00EF328C" w:rsidRDefault="00097A30" w:rsidP="00097A3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</w:t>
      </w:r>
      <w:r w:rsidR="00361DC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назвою </w:t>
      </w:r>
      <w:r w:rsidR="00361DCA">
        <w:rPr>
          <w:rFonts w:ascii="Times New Roman" w:hAnsi="Times New Roman" w:cs="Times New Roman"/>
          <w:sz w:val="28"/>
          <w:szCs w:val="28"/>
        </w:rPr>
        <w:t>сполуки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"/>
        <w:gridCol w:w="1426"/>
        <w:gridCol w:w="1294"/>
        <w:gridCol w:w="6378"/>
      </w:tblGrid>
      <w:tr w:rsidR="00361DCA" w:rsidRPr="00FC2C8F" w:rsidTr="002624B6">
        <w:trPr>
          <w:tblHeader/>
        </w:trPr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676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 сполук</w:t>
            </w:r>
          </w:p>
        </w:tc>
      </w:tr>
      <w:tr w:rsidR="00361DCA" w:rsidRPr="00FC2C8F" w:rsidTr="002624B6"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76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Прості феноли</w:t>
            </w:r>
          </w:p>
        </w:tc>
      </w:tr>
      <w:tr w:rsidR="00361DCA" w:rsidRPr="00FC2C8F" w:rsidTr="002624B6"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76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Фенольні кислоти, спирти та альдегіди</w:t>
            </w:r>
          </w:p>
        </w:tc>
      </w:tr>
      <w:tr w:rsidR="00361DCA" w:rsidRPr="00FC2C8F" w:rsidTr="002624B6"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6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Ацетофенони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фенілоцтові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 кислоти</w:t>
            </w:r>
          </w:p>
        </w:tc>
      </w:tr>
      <w:tr w:rsidR="00361DCA" w:rsidRPr="00FC2C8F" w:rsidTr="002624B6"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76" w:type="pct"/>
          </w:tcPr>
          <w:p w:rsidR="00361DCA" w:rsidRPr="003B61DE" w:rsidRDefault="002624B6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61DC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Гідроксикоричні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 кислоти, кумарини, </w:t>
            </w: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хромони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 та їх похідні</w:t>
            </w:r>
          </w:p>
        </w:tc>
      </w:tr>
      <w:tr w:rsidR="00361DCA" w:rsidRPr="00FC2C8F" w:rsidTr="002624B6"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76" w:type="pct"/>
          </w:tcPr>
          <w:p w:rsidR="00361DCA" w:rsidRPr="003B61DE" w:rsidRDefault="002624B6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Бензофенони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ксантони</w:t>
            </w:r>
            <w:proofErr w:type="spellEnd"/>
          </w:p>
        </w:tc>
      </w:tr>
      <w:tr w:rsidR="00361DCA" w:rsidRPr="00FC2C8F" w:rsidTr="002624B6">
        <w:tc>
          <w:tcPr>
            <w:tcW w:w="247" w:type="pct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76" w:type="pct"/>
          </w:tcPr>
          <w:p w:rsidR="00361DCA" w:rsidRPr="003B61DE" w:rsidRDefault="002624B6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</w:t>
            </w:r>
          </w:p>
        </w:tc>
        <w:tc>
          <w:tcPr>
            <w:tcW w:w="3333" w:type="pct"/>
            <w:shd w:val="clear" w:color="auto" w:fill="auto"/>
          </w:tcPr>
          <w:p w:rsidR="00361DCA" w:rsidRPr="003B61DE" w:rsidRDefault="00361DCA" w:rsidP="003B61D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Стільбени</w:t>
            </w:r>
            <w:proofErr w:type="spellEnd"/>
          </w:p>
        </w:tc>
      </w:tr>
      <w:tr w:rsidR="002624B6" w:rsidRPr="00FC2C8F" w:rsidTr="002624B6">
        <w:tc>
          <w:tcPr>
            <w:tcW w:w="247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76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VІІ</w:t>
            </w:r>
          </w:p>
        </w:tc>
        <w:tc>
          <w:tcPr>
            <w:tcW w:w="3333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Флавоноїди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4B6" w:rsidRPr="00FC2C8F" w:rsidTr="008D01D2">
        <w:trPr>
          <w:trHeight w:val="765"/>
        </w:trPr>
        <w:tc>
          <w:tcPr>
            <w:tcW w:w="247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Хінони:</w:t>
            </w:r>
          </w:p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676" w:type="pct"/>
          </w:tcPr>
          <w:p w:rsidR="002624B6" w:rsidRPr="003B61DE" w:rsidRDefault="002624B6" w:rsidP="008D01D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VІІІ</w:t>
            </w:r>
          </w:p>
        </w:tc>
        <w:tc>
          <w:tcPr>
            <w:tcW w:w="3333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Антрахінони</w:t>
            </w:r>
            <w:proofErr w:type="spellEnd"/>
          </w:p>
        </w:tc>
      </w:tr>
      <w:tr w:rsidR="002624B6" w:rsidRPr="00FC2C8F" w:rsidTr="002624B6">
        <w:tc>
          <w:tcPr>
            <w:tcW w:w="247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45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</w:p>
        </w:tc>
        <w:tc>
          <w:tcPr>
            <w:tcW w:w="676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ІX</w:t>
            </w:r>
          </w:p>
        </w:tc>
        <w:tc>
          <w:tcPr>
            <w:tcW w:w="3333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Біфлавоноїди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4B6" w:rsidRPr="00FC2C8F" w:rsidTr="002624B6">
        <w:tc>
          <w:tcPr>
            <w:tcW w:w="247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76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33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Лігнани</w:t>
            </w:r>
            <w:proofErr w:type="spellEnd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неолігнани</w:t>
            </w:r>
            <w:proofErr w:type="spellEnd"/>
          </w:p>
        </w:tc>
      </w:tr>
      <w:tr w:rsidR="002624B6" w:rsidRPr="00FC2C8F" w:rsidTr="002624B6">
        <w:tc>
          <w:tcPr>
            <w:tcW w:w="247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(C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61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676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XІ</w:t>
            </w:r>
          </w:p>
        </w:tc>
        <w:tc>
          <w:tcPr>
            <w:tcW w:w="3333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Полімери (лігнін)</w:t>
            </w:r>
          </w:p>
        </w:tc>
      </w:tr>
      <w:tr w:rsidR="002624B6" w:rsidRPr="00FC2C8F" w:rsidTr="002624B6">
        <w:tc>
          <w:tcPr>
            <w:tcW w:w="247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Таніни</w:t>
            </w:r>
          </w:p>
        </w:tc>
        <w:tc>
          <w:tcPr>
            <w:tcW w:w="676" w:type="pct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XІІ</w:t>
            </w:r>
          </w:p>
        </w:tc>
        <w:tc>
          <w:tcPr>
            <w:tcW w:w="3333" w:type="pct"/>
            <w:shd w:val="clear" w:color="auto" w:fill="auto"/>
          </w:tcPr>
          <w:p w:rsidR="002624B6" w:rsidRPr="003B61DE" w:rsidRDefault="002624B6" w:rsidP="002624B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E">
              <w:rPr>
                <w:rFonts w:ascii="Times New Roman" w:hAnsi="Times New Roman" w:cs="Times New Roman"/>
                <w:sz w:val="24"/>
                <w:szCs w:val="24"/>
              </w:rPr>
              <w:t>Олігомери або полімери</w:t>
            </w:r>
          </w:p>
        </w:tc>
      </w:tr>
    </w:tbl>
    <w:p w:rsidR="009C59E3" w:rsidRDefault="009C59E3" w:rsidP="00A418BC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:rsidR="00167571" w:rsidRDefault="00167571" w:rsidP="001675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167571" w:rsidRPr="00A92264" w:rsidRDefault="00167571" w:rsidP="00167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571" w:rsidRDefault="00167571" w:rsidP="00167571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167571" w:rsidRPr="00DD4E51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:rsidR="00167571" w:rsidRPr="00425E53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167571" w:rsidRPr="00425E53" w:rsidRDefault="00167571" w:rsidP="001675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НФаУ; Золотые страницы, 2003. – 512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571" w:rsidRDefault="00167571"/>
    <w:sectPr w:rsidR="00167571" w:rsidSect="006A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7A"/>
    <w:multiLevelType w:val="hybridMultilevel"/>
    <w:tmpl w:val="6C546F68"/>
    <w:lvl w:ilvl="0" w:tplc="0422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62046F"/>
    <w:rsid w:val="00044E41"/>
    <w:rsid w:val="000777CE"/>
    <w:rsid w:val="0008490E"/>
    <w:rsid w:val="00097A30"/>
    <w:rsid w:val="000A6974"/>
    <w:rsid w:val="000E0DC3"/>
    <w:rsid w:val="00106D40"/>
    <w:rsid w:val="00167571"/>
    <w:rsid w:val="0018375A"/>
    <w:rsid w:val="001A003A"/>
    <w:rsid w:val="001D2771"/>
    <w:rsid w:val="001E4D10"/>
    <w:rsid w:val="0024661A"/>
    <w:rsid w:val="00254961"/>
    <w:rsid w:val="00255DEB"/>
    <w:rsid w:val="002624B6"/>
    <w:rsid w:val="0028565C"/>
    <w:rsid w:val="002D2D78"/>
    <w:rsid w:val="002F1913"/>
    <w:rsid w:val="00326C18"/>
    <w:rsid w:val="00361DCA"/>
    <w:rsid w:val="00372333"/>
    <w:rsid w:val="003955D1"/>
    <w:rsid w:val="003B61DE"/>
    <w:rsid w:val="003F1FF5"/>
    <w:rsid w:val="004056F2"/>
    <w:rsid w:val="0048658A"/>
    <w:rsid w:val="004E621D"/>
    <w:rsid w:val="004E698C"/>
    <w:rsid w:val="00566494"/>
    <w:rsid w:val="00574161"/>
    <w:rsid w:val="005F0CF2"/>
    <w:rsid w:val="0062046F"/>
    <w:rsid w:val="00646BE4"/>
    <w:rsid w:val="00651DA5"/>
    <w:rsid w:val="00652568"/>
    <w:rsid w:val="00676046"/>
    <w:rsid w:val="006811D2"/>
    <w:rsid w:val="006A7335"/>
    <w:rsid w:val="006C77B3"/>
    <w:rsid w:val="006F4A68"/>
    <w:rsid w:val="00702463"/>
    <w:rsid w:val="0071492B"/>
    <w:rsid w:val="007247CC"/>
    <w:rsid w:val="007F2B0B"/>
    <w:rsid w:val="007F726A"/>
    <w:rsid w:val="0080054E"/>
    <w:rsid w:val="008062CC"/>
    <w:rsid w:val="0081146B"/>
    <w:rsid w:val="0081402B"/>
    <w:rsid w:val="00814BE8"/>
    <w:rsid w:val="0081729A"/>
    <w:rsid w:val="00860FF4"/>
    <w:rsid w:val="0088640C"/>
    <w:rsid w:val="008A1CB8"/>
    <w:rsid w:val="008B6D8E"/>
    <w:rsid w:val="008D01D2"/>
    <w:rsid w:val="008E46AF"/>
    <w:rsid w:val="009426CF"/>
    <w:rsid w:val="009B628F"/>
    <w:rsid w:val="009C4505"/>
    <w:rsid w:val="009C59E3"/>
    <w:rsid w:val="009D1550"/>
    <w:rsid w:val="009F2BCB"/>
    <w:rsid w:val="00A111BE"/>
    <w:rsid w:val="00A30898"/>
    <w:rsid w:val="00A418BC"/>
    <w:rsid w:val="00A82377"/>
    <w:rsid w:val="00AA61B1"/>
    <w:rsid w:val="00AA7D6A"/>
    <w:rsid w:val="00AD604A"/>
    <w:rsid w:val="00AF3700"/>
    <w:rsid w:val="00AF69C9"/>
    <w:rsid w:val="00B0017F"/>
    <w:rsid w:val="00B1171D"/>
    <w:rsid w:val="00B14740"/>
    <w:rsid w:val="00B159A2"/>
    <w:rsid w:val="00B43D42"/>
    <w:rsid w:val="00B50682"/>
    <w:rsid w:val="00B645D4"/>
    <w:rsid w:val="00B84958"/>
    <w:rsid w:val="00B90E26"/>
    <w:rsid w:val="00BA3EF6"/>
    <w:rsid w:val="00BB1D4A"/>
    <w:rsid w:val="00BC19E6"/>
    <w:rsid w:val="00BC28DD"/>
    <w:rsid w:val="00BE4CE2"/>
    <w:rsid w:val="00D01997"/>
    <w:rsid w:val="00D64560"/>
    <w:rsid w:val="00D766E4"/>
    <w:rsid w:val="00D978E0"/>
    <w:rsid w:val="00DA36D8"/>
    <w:rsid w:val="00DC0435"/>
    <w:rsid w:val="00E47FAB"/>
    <w:rsid w:val="00EF328C"/>
    <w:rsid w:val="00EF58F6"/>
    <w:rsid w:val="00F1468A"/>
    <w:rsid w:val="00F921A2"/>
    <w:rsid w:val="00FB157D"/>
    <w:rsid w:val="00FB5C00"/>
    <w:rsid w:val="00FB72D3"/>
    <w:rsid w:val="00FC113C"/>
    <w:rsid w:val="00F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0"/>
    <w:link w:val="40"/>
    <w:qFormat/>
    <w:rsid w:val="0024661A"/>
    <w:pPr>
      <w:suppressAutoHyphens/>
      <w:spacing w:before="1400" w:after="60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BC1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1"/>
    <w:link w:val="a4"/>
    <w:rsid w:val="00BC19E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6">
    <w:name w:val="Абзац"/>
    <w:basedOn w:val="a"/>
    <w:rsid w:val="00BC19E6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8F6"/>
    <w:pPr>
      <w:ind w:left="720"/>
      <w:contextualSpacing/>
    </w:pPr>
  </w:style>
  <w:style w:type="table" w:styleId="a8">
    <w:name w:val="Table Grid"/>
    <w:basedOn w:val="a2"/>
    <w:uiPriority w:val="59"/>
    <w:rsid w:val="005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unhideWhenUsed/>
    <w:rsid w:val="00FB15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ой текст Знак"/>
    <w:basedOn w:val="a1"/>
    <w:link w:val="a0"/>
    <w:uiPriority w:val="99"/>
    <w:rsid w:val="00FB157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24661A"/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4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nhideWhenUsed/>
    <w:rsid w:val="009B6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9B628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8A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A1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4D33-4D1A-4950-8533-1961BF2B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AICNC</dc:creator>
  <cp:lastModifiedBy>777</cp:lastModifiedBy>
  <cp:revision>4</cp:revision>
  <dcterms:created xsi:type="dcterms:W3CDTF">2020-03-29T15:10:00Z</dcterms:created>
  <dcterms:modified xsi:type="dcterms:W3CDTF">2020-03-29T17:15:00Z</dcterms:modified>
</cp:coreProperties>
</file>