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8F" w:rsidRPr="00672114" w:rsidRDefault="00380E8F" w:rsidP="00380E8F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Нутриціологія</w:t>
      </w:r>
      <w:proofErr w:type="spellEnd"/>
    </w:p>
    <w:p w:rsidR="001E2710" w:rsidRPr="001E2710" w:rsidRDefault="001E2710" w:rsidP="001E27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E2710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1E2710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1E2710">
        <w:rPr>
          <w:rFonts w:ascii="Times New Roman" w:hAnsi="Times New Roman"/>
          <w:sz w:val="28"/>
          <w:szCs w:val="28"/>
        </w:rPr>
        <w:t xml:space="preserve"> </w:t>
      </w:r>
      <w:r w:rsidRPr="001E2710">
        <w:rPr>
          <w:rFonts w:ascii="Times New Roman" w:hAnsi="Times New Roman"/>
          <w:sz w:val="28"/>
          <w:szCs w:val="28"/>
          <w:lang w:val="uk-UA"/>
        </w:rPr>
        <w:t>4</w:t>
      </w:r>
      <w:r w:rsidRPr="001E2710">
        <w:rPr>
          <w:rFonts w:ascii="Times New Roman" w:hAnsi="Times New Roman"/>
          <w:sz w:val="28"/>
          <w:szCs w:val="28"/>
        </w:rPr>
        <w:t xml:space="preserve"> курсу </w:t>
      </w:r>
      <w:r w:rsidRPr="001E2710">
        <w:rPr>
          <w:rFonts w:ascii="Times New Roman" w:hAnsi="Times New Roman"/>
          <w:sz w:val="28"/>
          <w:szCs w:val="28"/>
          <w:lang w:val="uk-UA"/>
        </w:rPr>
        <w:t xml:space="preserve">галузі знань 22 Охорона здоров'я спеціальності 226 «Фармація, промислова фармація» </w:t>
      </w:r>
    </w:p>
    <w:p w:rsidR="001E2710" w:rsidRPr="001E2710" w:rsidRDefault="001E2710" w:rsidP="001E27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E2710">
        <w:rPr>
          <w:rFonts w:ascii="Times New Roman" w:hAnsi="Times New Roman"/>
          <w:sz w:val="28"/>
          <w:szCs w:val="28"/>
          <w:lang w:val="uk-UA"/>
        </w:rPr>
        <w:t>освітня програма «Фармація»</w:t>
      </w:r>
      <w:r w:rsidRPr="001E27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E2710">
        <w:rPr>
          <w:rFonts w:ascii="Times New Roman" w:hAnsi="Times New Roman"/>
          <w:sz w:val="28"/>
          <w:szCs w:val="28"/>
          <w:lang w:val="uk-UA"/>
        </w:rPr>
        <w:t>Фс16 (5,0д) 7-12 групи</w:t>
      </w:r>
    </w:p>
    <w:p w:rsidR="00380E8F" w:rsidRPr="00672114" w:rsidRDefault="00380E8F" w:rsidP="00380E8F">
      <w:pPr>
        <w:pStyle w:val="a4"/>
        <w:spacing w:line="276" w:lineRule="auto"/>
        <w:rPr>
          <w:b w:val="0"/>
          <w:szCs w:val="28"/>
          <w:lang w:val="uk-UA"/>
        </w:rPr>
      </w:pPr>
    </w:p>
    <w:p w:rsidR="001E2710" w:rsidRPr="001E2710" w:rsidRDefault="001E2710" w:rsidP="001E2710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1E2710">
        <w:rPr>
          <w:rFonts w:ascii="Times New Roman" w:hAnsi="Times New Roman"/>
          <w:b/>
          <w:color w:val="FF0000"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4</w:t>
      </w:r>
      <w:r w:rsidRPr="001E2710">
        <w:rPr>
          <w:rFonts w:ascii="Times New Roman" w:hAnsi="Times New Roman"/>
          <w:b/>
          <w:color w:val="FF0000"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5</w:t>
      </w:r>
      <w:r w:rsidRPr="001E2710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2020 – група 11</w:t>
      </w:r>
    </w:p>
    <w:p w:rsidR="001E2710" w:rsidRPr="001E2710" w:rsidRDefault="001E2710" w:rsidP="001E2710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15</w:t>
      </w:r>
      <w:r w:rsidRPr="001E2710">
        <w:rPr>
          <w:rFonts w:ascii="Times New Roman" w:hAnsi="Times New Roman"/>
          <w:b/>
          <w:color w:val="FF0000"/>
          <w:sz w:val="28"/>
          <w:szCs w:val="28"/>
        </w:rPr>
        <w:t>.0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5</w:t>
      </w:r>
      <w:r w:rsidRPr="001E2710">
        <w:rPr>
          <w:rFonts w:ascii="Times New Roman" w:hAnsi="Times New Roman"/>
          <w:b/>
          <w:color w:val="FF0000"/>
          <w:sz w:val="28"/>
          <w:szCs w:val="28"/>
        </w:rPr>
        <w:t>.</w:t>
      </w:r>
      <w:r w:rsidRPr="001E2710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1E2710">
        <w:rPr>
          <w:rFonts w:ascii="Times New Roman" w:hAnsi="Times New Roman"/>
          <w:b/>
          <w:color w:val="FF0000"/>
          <w:sz w:val="28"/>
          <w:szCs w:val="28"/>
        </w:rPr>
        <w:t xml:space="preserve">2020 – </w:t>
      </w:r>
      <w:proofErr w:type="spellStart"/>
      <w:r w:rsidRPr="001E2710">
        <w:rPr>
          <w:rFonts w:ascii="Times New Roman" w:hAnsi="Times New Roman"/>
          <w:b/>
          <w:color w:val="FF0000"/>
          <w:sz w:val="28"/>
          <w:szCs w:val="28"/>
        </w:rPr>
        <w:t>групи</w:t>
      </w:r>
      <w:proofErr w:type="spellEnd"/>
      <w:r w:rsidRPr="001E2710">
        <w:rPr>
          <w:rFonts w:ascii="Times New Roman" w:hAnsi="Times New Roman"/>
          <w:b/>
          <w:color w:val="FF0000"/>
          <w:sz w:val="28"/>
          <w:szCs w:val="28"/>
        </w:rPr>
        <w:t xml:space="preserve"> 7, </w:t>
      </w:r>
      <w:r w:rsidRPr="001E2710">
        <w:rPr>
          <w:rFonts w:ascii="Times New Roman" w:hAnsi="Times New Roman"/>
          <w:b/>
          <w:color w:val="FF0000"/>
          <w:sz w:val="28"/>
          <w:szCs w:val="28"/>
          <w:lang w:val="uk-UA"/>
        </w:rPr>
        <w:t>9</w:t>
      </w:r>
    </w:p>
    <w:p w:rsidR="001E2710" w:rsidRPr="001E2710" w:rsidRDefault="001E2710" w:rsidP="001E2710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21</w:t>
      </w:r>
      <w:r w:rsidRPr="001E2710">
        <w:rPr>
          <w:rFonts w:ascii="Times New Roman" w:hAnsi="Times New Roman"/>
          <w:b/>
          <w:color w:val="FF0000"/>
          <w:sz w:val="28"/>
          <w:szCs w:val="28"/>
        </w:rPr>
        <w:t>.0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5</w:t>
      </w:r>
      <w:r w:rsidRPr="001E2710">
        <w:rPr>
          <w:rFonts w:ascii="Times New Roman" w:hAnsi="Times New Roman"/>
          <w:b/>
          <w:color w:val="FF0000"/>
          <w:sz w:val="28"/>
          <w:szCs w:val="28"/>
        </w:rPr>
        <w:t>.</w:t>
      </w:r>
      <w:r w:rsidRPr="001E2710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1E2710">
        <w:rPr>
          <w:rFonts w:ascii="Times New Roman" w:hAnsi="Times New Roman"/>
          <w:b/>
          <w:color w:val="FF0000"/>
          <w:sz w:val="28"/>
          <w:szCs w:val="28"/>
        </w:rPr>
        <w:t xml:space="preserve">2020 – </w:t>
      </w:r>
      <w:proofErr w:type="spellStart"/>
      <w:r w:rsidRPr="001E2710">
        <w:rPr>
          <w:rFonts w:ascii="Times New Roman" w:hAnsi="Times New Roman"/>
          <w:b/>
          <w:color w:val="FF0000"/>
          <w:sz w:val="28"/>
          <w:szCs w:val="28"/>
        </w:rPr>
        <w:t>групи</w:t>
      </w:r>
      <w:proofErr w:type="spellEnd"/>
      <w:r w:rsidRPr="001E271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E2710">
        <w:rPr>
          <w:rFonts w:ascii="Times New Roman" w:hAnsi="Times New Roman"/>
          <w:b/>
          <w:color w:val="FF0000"/>
          <w:sz w:val="28"/>
          <w:szCs w:val="28"/>
          <w:lang w:val="uk-UA"/>
        </w:rPr>
        <w:t>12</w:t>
      </w:r>
    </w:p>
    <w:p w:rsidR="001E2710" w:rsidRPr="001E2710" w:rsidRDefault="001E2710" w:rsidP="001E2710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22</w:t>
      </w:r>
      <w:bookmarkStart w:id="0" w:name="_GoBack"/>
      <w:bookmarkEnd w:id="0"/>
      <w:r w:rsidRPr="001E2710">
        <w:rPr>
          <w:rFonts w:ascii="Times New Roman" w:hAnsi="Times New Roman"/>
          <w:b/>
          <w:color w:val="FF0000"/>
          <w:sz w:val="28"/>
          <w:szCs w:val="28"/>
        </w:rPr>
        <w:t>.0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5</w:t>
      </w:r>
      <w:r w:rsidRPr="001E2710">
        <w:rPr>
          <w:rFonts w:ascii="Times New Roman" w:hAnsi="Times New Roman"/>
          <w:b/>
          <w:color w:val="FF0000"/>
          <w:sz w:val="28"/>
          <w:szCs w:val="28"/>
        </w:rPr>
        <w:t xml:space="preserve">.2020 – </w:t>
      </w:r>
      <w:proofErr w:type="spellStart"/>
      <w:r w:rsidRPr="001E2710">
        <w:rPr>
          <w:rFonts w:ascii="Times New Roman" w:hAnsi="Times New Roman"/>
          <w:b/>
          <w:color w:val="FF0000"/>
          <w:sz w:val="28"/>
          <w:szCs w:val="28"/>
        </w:rPr>
        <w:t>групи</w:t>
      </w:r>
      <w:proofErr w:type="spellEnd"/>
      <w:r w:rsidRPr="001E271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E2710">
        <w:rPr>
          <w:rFonts w:ascii="Times New Roman" w:hAnsi="Times New Roman"/>
          <w:b/>
          <w:color w:val="FF0000"/>
          <w:sz w:val="28"/>
          <w:szCs w:val="28"/>
          <w:lang w:val="uk-UA"/>
        </w:rPr>
        <w:t>8</w:t>
      </w:r>
      <w:r w:rsidRPr="001E2710">
        <w:rPr>
          <w:rFonts w:ascii="Times New Roman" w:hAnsi="Times New Roman"/>
          <w:b/>
          <w:color w:val="FF0000"/>
          <w:sz w:val="28"/>
          <w:szCs w:val="28"/>
        </w:rPr>
        <w:t>, 1</w:t>
      </w:r>
      <w:r w:rsidRPr="001E2710">
        <w:rPr>
          <w:rFonts w:ascii="Times New Roman" w:hAnsi="Times New Roman"/>
          <w:b/>
          <w:color w:val="FF0000"/>
          <w:sz w:val="28"/>
          <w:szCs w:val="28"/>
          <w:lang w:val="uk-UA"/>
        </w:rPr>
        <w:t>0</w:t>
      </w:r>
    </w:p>
    <w:p w:rsidR="000E2A4C" w:rsidRPr="000E2A4C" w:rsidRDefault="000E2A4C" w:rsidP="00380E8F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80E8F" w:rsidRDefault="000E2A4C" w:rsidP="00380E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Семінарське</w:t>
      </w:r>
      <w:r w:rsidR="00380E8F" w:rsidRPr="009862F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380E8F" w:rsidRPr="009862F0">
        <w:rPr>
          <w:rFonts w:ascii="Times New Roman" w:hAnsi="Times New Roman"/>
          <w:b/>
          <w:sz w:val="28"/>
          <w:szCs w:val="28"/>
          <w:u w:val="single"/>
        </w:rPr>
        <w:t>заняття</w:t>
      </w:r>
      <w:proofErr w:type="spellEnd"/>
      <w:r w:rsidR="00380E8F" w:rsidRPr="00672114">
        <w:rPr>
          <w:rFonts w:ascii="Times New Roman" w:hAnsi="Times New Roman"/>
          <w:b/>
          <w:sz w:val="28"/>
          <w:szCs w:val="28"/>
        </w:rPr>
        <w:t>. Тема: «</w:t>
      </w:r>
      <w:proofErr w:type="spellStart"/>
      <w:r w:rsidR="00380E8F" w:rsidRPr="00380E8F">
        <w:rPr>
          <w:rFonts w:ascii="Times New Roman" w:hAnsi="Times New Roman"/>
          <w:sz w:val="28"/>
          <w:szCs w:val="28"/>
          <w:lang w:eastAsia="ru-RU"/>
        </w:rPr>
        <w:t>Підсумковий</w:t>
      </w:r>
      <w:proofErr w:type="spellEnd"/>
      <w:r w:rsidR="003756CD">
        <w:rPr>
          <w:rFonts w:ascii="Times New Roman" w:hAnsi="Times New Roman"/>
          <w:sz w:val="28"/>
          <w:szCs w:val="28"/>
          <w:lang w:eastAsia="ru-RU"/>
        </w:rPr>
        <w:t xml:space="preserve"> контроль </w:t>
      </w:r>
      <w:proofErr w:type="spellStart"/>
      <w:r w:rsidR="003756CD">
        <w:rPr>
          <w:rFonts w:ascii="Times New Roman" w:hAnsi="Times New Roman"/>
          <w:sz w:val="28"/>
          <w:szCs w:val="28"/>
          <w:lang w:eastAsia="ru-RU"/>
        </w:rPr>
        <w:t>засвоєння</w:t>
      </w:r>
      <w:proofErr w:type="spellEnd"/>
      <w:r w:rsidR="003756CD">
        <w:rPr>
          <w:rFonts w:ascii="Times New Roman" w:hAnsi="Times New Roman"/>
          <w:sz w:val="28"/>
          <w:szCs w:val="28"/>
          <w:lang w:eastAsia="ru-RU"/>
        </w:rPr>
        <w:t xml:space="preserve"> ЗМ </w:t>
      </w:r>
      <w:r w:rsidR="003756CD">
        <w:rPr>
          <w:rFonts w:ascii="Times New Roman" w:hAnsi="Times New Roman"/>
          <w:sz w:val="28"/>
          <w:szCs w:val="28"/>
          <w:lang w:val="uk-UA" w:eastAsia="ru-RU"/>
        </w:rPr>
        <w:t>2</w:t>
      </w:r>
      <w:r w:rsidR="00380E8F" w:rsidRPr="00672114">
        <w:rPr>
          <w:rFonts w:ascii="Times New Roman" w:hAnsi="Times New Roman"/>
          <w:b/>
          <w:sz w:val="28"/>
          <w:szCs w:val="28"/>
        </w:rPr>
        <w:t>»</w:t>
      </w:r>
    </w:p>
    <w:p w:rsidR="00380E8F" w:rsidRDefault="00380E8F" w:rsidP="00380E8F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380E8F" w:rsidRPr="008F2571" w:rsidRDefault="00380E8F" w:rsidP="00380E8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F2571">
        <w:rPr>
          <w:rFonts w:ascii="Times New Roman" w:hAnsi="Times New Roman"/>
          <w:b/>
          <w:i/>
          <w:sz w:val="28"/>
          <w:szCs w:val="28"/>
        </w:rPr>
        <w:t>Контрольні</w:t>
      </w:r>
      <w:proofErr w:type="spellEnd"/>
      <w:r w:rsidRPr="008F257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F2571">
        <w:rPr>
          <w:rFonts w:ascii="Times New Roman" w:hAnsi="Times New Roman"/>
          <w:b/>
          <w:i/>
          <w:sz w:val="28"/>
          <w:szCs w:val="28"/>
        </w:rPr>
        <w:t>запитання</w:t>
      </w:r>
      <w:proofErr w:type="spellEnd"/>
      <w:r w:rsidRPr="008F2571">
        <w:rPr>
          <w:rFonts w:ascii="Times New Roman" w:hAnsi="Times New Roman"/>
          <w:sz w:val="28"/>
          <w:szCs w:val="28"/>
        </w:rPr>
        <w:t xml:space="preserve">: </w:t>
      </w:r>
    </w:p>
    <w:p w:rsidR="00C729B7" w:rsidRPr="00380E8F" w:rsidRDefault="00C729B7" w:rsidP="00C729B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Харчова алергія. Механізм дії харчової алергії. Продукти харчування з високою, середньою та низькою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алергенністю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>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Елімінаційна дієта. Правила приготування їжі при харчовій алергії.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Харчова непереносимість. Види харчової непереносимості: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ензимопатія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фенілкетонурія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галактоземія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лактазна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недостатність,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целіакія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>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Непереносимість алкоголю.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Принципи дієтотерапії при алергії та харчовій непереносимості.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корекція при алергії та харчовій непереносимості.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Цукровий діабет. Причини розвитку діабету. Основні симптоми цукрового діабету. Діабетичний синдром.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Види цукрового діабету.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Основні показники, що визначають цукровий діабет.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Дієта показана при цукровому діабеті: хімічний склад та енергетична цінність добового раціону.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Глікемічний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індекс харчових продуктів. Харчові продукти з високим, середнім і низьким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глікемічним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індексом.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Прості та складні вуглеводи.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Хлібна одиниця.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 Раціон харчування хворих з цукровим діабетом.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корекція при цукровому діабеті.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Езофагіт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Пептичні виразки стравоходу: причини, симптоми, лікування, рекомендації щодо їх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lastRenderedPageBreak/>
        <w:t xml:space="preserve">Гастрит типу В: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Гастрит типу А: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Рефлюкс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Хронічний панкреатит: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Жовчокам’яна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хвороба: причини, симптоми, лікування, рекомендації щодо її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Гострий панкреатит: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Дискінезія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жовчних шляхів: причини, симптоми, лікування, рекомендації щодо її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Цироз печінки: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Виразкова хвороба шлунка: причини, симптоми, лікування, рекомендації щодо її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Хронічний ентероколіт: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Хвороба Боткіна: причини, симптоми, лікування, рекомендації щодо її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Дисбактеріоз кишечнику: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Хронічний холецистит: причини, симптоми, лікування, рекомендації щодо його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нутрієнтної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корекції.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Охарактеризуйте номерні дієти при гастриті типу В, гастриті типу А, дисбактеріозі кишечнику, гепатиті А,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дискінезії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жовчних шляхів, виразковій хворобі шлунка, цирозі печінки, хронічному панкреатиті, хронічному ентероколі</w:t>
      </w:r>
      <w:r>
        <w:rPr>
          <w:rFonts w:ascii="Times New Roman" w:hAnsi="Times New Roman"/>
          <w:sz w:val="28"/>
          <w:szCs w:val="28"/>
          <w:lang w:val="uk-UA"/>
        </w:rPr>
        <w:t>ті, жовч</w:t>
      </w:r>
      <w:r w:rsidRPr="00AA5EE5">
        <w:rPr>
          <w:rFonts w:ascii="Times New Roman" w:hAnsi="Times New Roman"/>
          <w:sz w:val="28"/>
          <w:szCs w:val="28"/>
          <w:lang w:val="uk-UA"/>
        </w:rPr>
        <w:t>нокам’яній хворобі, хронічному холециститі, гострому панкреатиті.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 xml:space="preserve">Стимулятори перистальтики </w:t>
      </w: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кишківника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>, харчові речовини, які гальмують перистальтику кишечника.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5EE5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AA5EE5">
        <w:rPr>
          <w:rFonts w:ascii="Times New Roman" w:hAnsi="Times New Roman"/>
          <w:sz w:val="28"/>
          <w:szCs w:val="28"/>
          <w:lang w:val="uk-UA"/>
        </w:rPr>
        <w:t xml:space="preserve"> корекція при захворюваннях шлунково-кишкового тра</w:t>
      </w:r>
      <w:r>
        <w:rPr>
          <w:rFonts w:ascii="Times New Roman" w:hAnsi="Times New Roman"/>
          <w:sz w:val="28"/>
          <w:szCs w:val="28"/>
          <w:lang w:val="uk-UA"/>
        </w:rPr>
        <w:t>кту.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A5EE5">
        <w:rPr>
          <w:rFonts w:ascii="Times New Roman" w:hAnsi="Times New Roman"/>
          <w:sz w:val="28"/>
          <w:szCs w:val="28"/>
          <w:lang w:val="uk-UA"/>
        </w:rPr>
        <w:t>Захворювання серцево-судинної системи: атеросклероз, гіпертонічна хвороба, хронічна серцева недостатність, ішемічна хвороба серця.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Атеросклероз: причини, симптоми, лікування.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lastRenderedPageBreak/>
        <w:t>Гіпертонічна хвороба: причини, симптоми, лікування.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Хронічна серцева недостатність: причини, симптоми, лікування.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Ішемічна хвороба серця: причини, симптоми, лікування.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Основні причини виникнення інфаркту міокарда.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 корекція при захворюваннях серцево-судинної системи.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Захворювання сечовидільної системи: нефрит, сечокам’яна хвороба.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Нефрит: причини, симптоми, лікування.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Сечокам’яна хвороба: причини, симптоми, лікування.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 xml:space="preserve">Захворювання опорно-рухового апарату: </w:t>
      </w: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остеоартрит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ревматоїдний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 артрит, остеопороз, подагра.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 xml:space="preserve">Остеопороз: причини, симптоми, лікування. 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Остеоартрит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>: причини, симптоми, лікування.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Ревматоїдний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 артрит: причини, симптоми, лікування.</w:t>
      </w:r>
    </w:p>
    <w:p w:rsidR="003756CD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3CC">
        <w:rPr>
          <w:rFonts w:ascii="Times New Roman" w:hAnsi="Times New Roman"/>
          <w:sz w:val="28"/>
          <w:szCs w:val="28"/>
          <w:lang w:val="uk-UA"/>
        </w:rPr>
        <w:t>Подагра: причини, симптоми, лікування.</w:t>
      </w:r>
    </w:p>
    <w:p w:rsidR="003756CD" w:rsidRPr="009303CC" w:rsidRDefault="003756CD" w:rsidP="003756CD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3CC">
        <w:rPr>
          <w:rFonts w:ascii="Times New Roman" w:hAnsi="Times New Roman"/>
          <w:sz w:val="28"/>
          <w:szCs w:val="28"/>
          <w:lang w:val="uk-UA"/>
        </w:rPr>
        <w:t>Нутрієнтна</w:t>
      </w:r>
      <w:proofErr w:type="spellEnd"/>
      <w:r w:rsidRPr="009303CC">
        <w:rPr>
          <w:rFonts w:ascii="Times New Roman" w:hAnsi="Times New Roman"/>
          <w:sz w:val="28"/>
          <w:szCs w:val="28"/>
          <w:lang w:val="uk-UA"/>
        </w:rPr>
        <w:t xml:space="preserve"> корекція при захворюваннях сечовидільної системи та опорно-рухового апарату.</w:t>
      </w:r>
    </w:p>
    <w:p w:rsidR="003756CD" w:rsidRPr="00AA5EE5" w:rsidRDefault="003756CD" w:rsidP="003756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2B2D" w:rsidRDefault="00222B2D"/>
    <w:p w:rsidR="00380E8F" w:rsidRDefault="00380E8F" w:rsidP="00380E8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Використана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л</w:t>
      </w:r>
      <w:r w:rsidRPr="00425E53">
        <w:rPr>
          <w:rFonts w:ascii="Times New Roman" w:hAnsi="Times New Roman"/>
          <w:b/>
          <w:i/>
          <w:sz w:val="28"/>
          <w:szCs w:val="28"/>
        </w:rPr>
        <w:t>ітература</w:t>
      </w:r>
      <w:proofErr w:type="spellEnd"/>
      <w:r w:rsidRPr="00DD4E51">
        <w:rPr>
          <w:rFonts w:ascii="Times New Roman" w:hAnsi="Times New Roman"/>
          <w:sz w:val="28"/>
          <w:szCs w:val="28"/>
        </w:rPr>
        <w:t>: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Робочий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зошит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нутриціології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/ В.С. </w:t>
      </w:r>
      <w:proofErr w:type="spellStart"/>
      <w:r w:rsidRPr="00A93469">
        <w:rPr>
          <w:rFonts w:ascii="Times New Roman" w:hAnsi="Times New Roman"/>
          <w:sz w:val="28"/>
          <w:szCs w:val="28"/>
        </w:rPr>
        <w:t>Кисличенко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Н.В. Попова, О.М. Новосел, З.І. Омельченко, Н.Є. Бурда, А.І. Попик, Л.М. Горяча, Г.С. </w:t>
      </w:r>
      <w:proofErr w:type="spellStart"/>
      <w:r w:rsidRPr="00A93469">
        <w:rPr>
          <w:rFonts w:ascii="Times New Roman" w:hAnsi="Times New Roman"/>
          <w:sz w:val="28"/>
          <w:szCs w:val="28"/>
        </w:rPr>
        <w:t>Тартинська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– Х.: Вид-во </w:t>
      </w:r>
      <w:proofErr w:type="spellStart"/>
      <w:r w:rsidRPr="00A93469">
        <w:rPr>
          <w:rFonts w:ascii="Times New Roman" w:hAnsi="Times New Roman"/>
          <w:sz w:val="28"/>
          <w:szCs w:val="28"/>
        </w:rPr>
        <w:t>НФаУ</w:t>
      </w:r>
      <w:proofErr w:type="spellEnd"/>
      <w:r w:rsidRPr="00A93469">
        <w:rPr>
          <w:rFonts w:ascii="Times New Roman" w:hAnsi="Times New Roman"/>
          <w:sz w:val="28"/>
          <w:szCs w:val="28"/>
        </w:rPr>
        <w:t>, 2020. – 77 с.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Тексти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лекцій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нутриціології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A93469">
        <w:rPr>
          <w:rFonts w:ascii="Times New Roman" w:hAnsi="Times New Roman"/>
          <w:sz w:val="28"/>
          <w:szCs w:val="28"/>
        </w:rPr>
        <w:t>Автори-укладачі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: Попова Н.В., </w:t>
      </w:r>
      <w:proofErr w:type="spellStart"/>
      <w:r w:rsidRPr="00A93469">
        <w:rPr>
          <w:rFonts w:ascii="Times New Roman" w:hAnsi="Times New Roman"/>
          <w:sz w:val="28"/>
          <w:szCs w:val="28"/>
        </w:rPr>
        <w:t>Ковальов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С.В., Казаков Г.П., </w:t>
      </w:r>
      <w:proofErr w:type="spellStart"/>
      <w:r w:rsidRPr="00A93469">
        <w:rPr>
          <w:rFonts w:ascii="Times New Roman" w:hAnsi="Times New Roman"/>
          <w:sz w:val="28"/>
          <w:szCs w:val="28"/>
        </w:rPr>
        <w:t>Алфьорова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Д.А., Степанова С.І., Скора І.В. – Х.: Вид-во </w:t>
      </w:r>
      <w:proofErr w:type="spellStart"/>
      <w:r w:rsidRPr="00A93469">
        <w:rPr>
          <w:rFonts w:ascii="Times New Roman" w:hAnsi="Times New Roman"/>
          <w:sz w:val="28"/>
          <w:szCs w:val="28"/>
        </w:rPr>
        <w:t>НФаУ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2018. </w:t>
      </w:r>
      <w:proofErr w:type="spellStart"/>
      <w:r w:rsidRPr="00A93469">
        <w:rPr>
          <w:rFonts w:ascii="Times New Roman" w:hAnsi="Times New Roman"/>
          <w:sz w:val="28"/>
          <w:szCs w:val="28"/>
        </w:rPr>
        <w:t>Стор</w:t>
      </w:r>
      <w:proofErr w:type="spellEnd"/>
      <w:r w:rsidRPr="00A93469">
        <w:rPr>
          <w:rFonts w:ascii="Times New Roman" w:hAnsi="Times New Roman"/>
          <w:sz w:val="28"/>
          <w:szCs w:val="28"/>
        </w:rPr>
        <w:t>. 126.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Павлоцька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Л.Ф., </w:t>
      </w:r>
      <w:proofErr w:type="spellStart"/>
      <w:r w:rsidRPr="00A93469">
        <w:rPr>
          <w:rFonts w:ascii="Times New Roman" w:hAnsi="Times New Roman"/>
          <w:sz w:val="28"/>
          <w:szCs w:val="28"/>
        </w:rPr>
        <w:t>Дуденко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A93469">
        <w:rPr>
          <w:rFonts w:ascii="Times New Roman" w:hAnsi="Times New Roman"/>
          <w:sz w:val="28"/>
          <w:szCs w:val="28"/>
        </w:rPr>
        <w:t>Цихановська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І.В., </w:t>
      </w:r>
      <w:proofErr w:type="spellStart"/>
      <w:r w:rsidRPr="00A93469">
        <w:rPr>
          <w:rFonts w:ascii="Times New Roman" w:hAnsi="Times New Roman"/>
          <w:sz w:val="28"/>
          <w:szCs w:val="28"/>
        </w:rPr>
        <w:t>Лазарєва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Т.А., Александров О.В., Коваленко В.О., </w:t>
      </w:r>
      <w:proofErr w:type="spellStart"/>
      <w:r w:rsidRPr="00A93469">
        <w:rPr>
          <w:rFonts w:ascii="Times New Roman" w:hAnsi="Times New Roman"/>
          <w:sz w:val="28"/>
          <w:szCs w:val="28"/>
        </w:rPr>
        <w:t>Скуріхіна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 w:rsidRPr="00A93469">
        <w:rPr>
          <w:rFonts w:ascii="Times New Roman" w:hAnsi="Times New Roman"/>
          <w:sz w:val="28"/>
          <w:szCs w:val="28"/>
        </w:rPr>
        <w:t>Євлаш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Частина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1. </w:t>
      </w:r>
      <w:proofErr w:type="spellStart"/>
      <w:r w:rsidRPr="00A93469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A93469">
        <w:rPr>
          <w:rFonts w:ascii="Times New Roman" w:hAnsi="Times New Roman"/>
          <w:sz w:val="28"/>
          <w:szCs w:val="28"/>
        </w:rPr>
        <w:t>Харків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: УІПА, 2012. – 371 с. 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Дуденко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A93469">
        <w:rPr>
          <w:rFonts w:ascii="Times New Roman" w:hAnsi="Times New Roman"/>
          <w:sz w:val="28"/>
          <w:szCs w:val="28"/>
        </w:rPr>
        <w:t>Павлоцька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Л.Ф., </w:t>
      </w:r>
      <w:proofErr w:type="spellStart"/>
      <w:r w:rsidRPr="00A93469">
        <w:rPr>
          <w:rFonts w:ascii="Times New Roman" w:hAnsi="Times New Roman"/>
          <w:sz w:val="28"/>
          <w:szCs w:val="28"/>
        </w:rPr>
        <w:t>Цихановська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І.В., </w:t>
      </w:r>
      <w:proofErr w:type="spellStart"/>
      <w:r w:rsidRPr="00A93469">
        <w:rPr>
          <w:rFonts w:ascii="Times New Roman" w:hAnsi="Times New Roman"/>
          <w:sz w:val="28"/>
          <w:szCs w:val="28"/>
        </w:rPr>
        <w:t>Лазарєва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Т.А., Александров О.В., Коваленко В.О., </w:t>
      </w:r>
      <w:proofErr w:type="spellStart"/>
      <w:r w:rsidRPr="00A93469">
        <w:rPr>
          <w:rFonts w:ascii="Times New Roman" w:hAnsi="Times New Roman"/>
          <w:sz w:val="28"/>
          <w:szCs w:val="28"/>
        </w:rPr>
        <w:t>Скуріхіна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 w:rsidRPr="00A93469">
        <w:rPr>
          <w:rFonts w:ascii="Times New Roman" w:hAnsi="Times New Roman"/>
          <w:sz w:val="28"/>
          <w:szCs w:val="28"/>
        </w:rPr>
        <w:t>Євлаш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Частина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2. </w:t>
      </w:r>
      <w:proofErr w:type="spellStart"/>
      <w:r w:rsidRPr="00A93469">
        <w:rPr>
          <w:rFonts w:ascii="Times New Roman" w:hAnsi="Times New Roman"/>
          <w:sz w:val="28"/>
          <w:szCs w:val="28"/>
        </w:rPr>
        <w:t>Частна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93469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A93469">
        <w:rPr>
          <w:rFonts w:ascii="Times New Roman" w:hAnsi="Times New Roman"/>
          <w:sz w:val="28"/>
          <w:szCs w:val="28"/>
        </w:rPr>
        <w:t>Харків</w:t>
      </w:r>
      <w:proofErr w:type="spellEnd"/>
      <w:r w:rsidRPr="00A93469">
        <w:rPr>
          <w:rFonts w:ascii="Times New Roman" w:hAnsi="Times New Roman"/>
          <w:sz w:val="28"/>
          <w:szCs w:val="28"/>
        </w:rPr>
        <w:t>: УІПА, 2012. – 246 с.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93469">
        <w:rPr>
          <w:rFonts w:ascii="Times New Roman" w:hAnsi="Times New Roman"/>
          <w:sz w:val="28"/>
          <w:szCs w:val="28"/>
        </w:rPr>
        <w:t xml:space="preserve">Общая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нутрициология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: Учебное пособие /А.Н. </w:t>
      </w:r>
      <w:proofErr w:type="spellStart"/>
      <w:r w:rsidRPr="00A93469">
        <w:rPr>
          <w:rFonts w:ascii="Times New Roman" w:hAnsi="Times New Roman"/>
          <w:sz w:val="28"/>
          <w:szCs w:val="28"/>
        </w:rPr>
        <w:t>Мартинчик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И.В. </w:t>
      </w:r>
      <w:proofErr w:type="spellStart"/>
      <w:r w:rsidRPr="00A93469">
        <w:rPr>
          <w:rFonts w:ascii="Times New Roman" w:hAnsi="Times New Roman"/>
          <w:sz w:val="28"/>
          <w:szCs w:val="28"/>
        </w:rPr>
        <w:t>Маев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О.О. </w:t>
      </w:r>
      <w:proofErr w:type="spellStart"/>
      <w:r w:rsidRPr="00A93469">
        <w:rPr>
          <w:rFonts w:ascii="Times New Roman" w:hAnsi="Times New Roman"/>
          <w:sz w:val="28"/>
          <w:szCs w:val="28"/>
        </w:rPr>
        <w:t>Янушевич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A93469">
        <w:rPr>
          <w:rFonts w:ascii="Times New Roman" w:hAnsi="Times New Roman"/>
          <w:sz w:val="28"/>
          <w:szCs w:val="28"/>
        </w:rPr>
        <w:t>МЕДпресс-информ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2005. - 392 с., </w:t>
      </w:r>
      <w:proofErr w:type="spellStart"/>
      <w:r w:rsidRPr="00A93469">
        <w:rPr>
          <w:rFonts w:ascii="Times New Roman" w:hAnsi="Times New Roman"/>
          <w:sz w:val="28"/>
          <w:szCs w:val="28"/>
        </w:rPr>
        <w:t>илл</w:t>
      </w:r>
      <w:proofErr w:type="spellEnd"/>
      <w:r w:rsidRPr="00A93469">
        <w:rPr>
          <w:rFonts w:ascii="Times New Roman" w:hAnsi="Times New Roman"/>
          <w:sz w:val="28"/>
          <w:szCs w:val="28"/>
        </w:rPr>
        <w:t>.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Опорний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конспект.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A93469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ресурс] / </w:t>
      </w:r>
      <w:proofErr w:type="spellStart"/>
      <w:r w:rsidRPr="00A93469">
        <w:rPr>
          <w:rFonts w:ascii="Times New Roman" w:hAnsi="Times New Roman"/>
          <w:sz w:val="28"/>
          <w:szCs w:val="28"/>
        </w:rPr>
        <w:t>укладачі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 Ф. </w:t>
      </w:r>
      <w:proofErr w:type="spellStart"/>
      <w:r w:rsidRPr="00A93469">
        <w:rPr>
          <w:rFonts w:ascii="Times New Roman" w:hAnsi="Times New Roman"/>
          <w:sz w:val="28"/>
          <w:szCs w:val="28"/>
        </w:rPr>
        <w:t>Павлоцька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О. Ф. </w:t>
      </w:r>
      <w:proofErr w:type="spellStart"/>
      <w:r w:rsidRPr="00A93469">
        <w:rPr>
          <w:rFonts w:ascii="Times New Roman" w:hAnsi="Times New Roman"/>
          <w:sz w:val="28"/>
          <w:szCs w:val="28"/>
        </w:rPr>
        <w:t>Аксьонова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A93469">
        <w:rPr>
          <w:rFonts w:ascii="Times New Roman" w:hAnsi="Times New Roman"/>
          <w:sz w:val="28"/>
          <w:szCs w:val="28"/>
        </w:rPr>
        <w:t>Електрон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дані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– Х. : ХДУХТ, 2018. – 1 </w:t>
      </w:r>
      <w:proofErr w:type="spellStart"/>
      <w:r w:rsidRPr="00A93469">
        <w:rPr>
          <w:rFonts w:ascii="Times New Roman" w:hAnsi="Times New Roman"/>
          <w:sz w:val="28"/>
          <w:szCs w:val="28"/>
        </w:rPr>
        <w:t>електрон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опт. диск (CD-ROM); 12 см. – </w:t>
      </w:r>
      <w:proofErr w:type="spellStart"/>
      <w:r w:rsidRPr="00A93469">
        <w:rPr>
          <w:rFonts w:ascii="Times New Roman" w:hAnsi="Times New Roman"/>
          <w:sz w:val="28"/>
          <w:szCs w:val="28"/>
        </w:rPr>
        <w:t>Назва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3469">
        <w:rPr>
          <w:rFonts w:ascii="Times New Roman" w:hAnsi="Times New Roman"/>
          <w:sz w:val="28"/>
          <w:szCs w:val="28"/>
        </w:rPr>
        <w:t>тит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екрана</w:t>
      </w:r>
      <w:proofErr w:type="spellEnd"/>
      <w:r w:rsidRPr="00A93469">
        <w:rPr>
          <w:rFonts w:ascii="Times New Roman" w:hAnsi="Times New Roman"/>
          <w:sz w:val="28"/>
          <w:szCs w:val="28"/>
        </w:rPr>
        <w:t>.</w:t>
      </w:r>
    </w:p>
    <w:p w:rsidR="00380E8F" w:rsidRDefault="00380E8F"/>
    <w:sectPr w:rsidR="00380E8F" w:rsidSect="007A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5D34"/>
    <w:multiLevelType w:val="hybridMultilevel"/>
    <w:tmpl w:val="ADA41BA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A4"/>
    <w:rsid w:val="00084CA0"/>
    <w:rsid w:val="000E2A4C"/>
    <w:rsid w:val="001E2710"/>
    <w:rsid w:val="00222B2D"/>
    <w:rsid w:val="002C56FE"/>
    <w:rsid w:val="003756CD"/>
    <w:rsid w:val="00380E8F"/>
    <w:rsid w:val="00467FCB"/>
    <w:rsid w:val="007A1ABC"/>
    <w:rsid w:val="009676A4"/>
    <w:rsid w:val="00C729B7"/>
    <w:rsid w:val="00E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E42C"/>
  <w15:docId w15:val="{51BC3ECE-1D9C-46D3-9489-E7DD3BFA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29B7"/>
    <w:pPr>
      <w:ind w:left="720"/>
      <w:contextualSpacing/>
    </w:pPr>
  </w:style>
  <w:style w:type="paragraph" w:styleId="a4">
    <w:name w:val="Title"/>
    <w:basedOn w:val="a"/>
    <w:link w:val="a5"/>
    <w:qFormat/>
    <w:rsid w:val="00380E8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380E8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Катя</cp:lastModifiedBy>
  <cp:revision>7</cp:revision>
  <dcterms:created xsi:type="dcterms:W3CDTF">2020-05-04T11:48:00Z</dcterms:created>
  <dcterms:modified xsi:type="dcterms:W3CDTF">2020-05-04T19:56:00Z</dcterms:modified>
</cp:coreProperties>
</file>