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8F" w:rsidRPr="00672114" w:rsidRDefault="00380E8F" w:rsidP="00380E8F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Нутриціологія</w:t>
      </w:r>
      <w:proofErr w:type="spellEnd"/>
    </w:p>
    <w:p w:rsidR="000E2A4C" w:rsidRPr="000E2A4C" w:rsidRDefault="000E2A4C" w:rsidP="000E2A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2A4C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здобувачів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2A4C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0E2A4C">
        <w:rPr>
          <w:rFonts w:ascii="Times New Roman" w:hAnsi="Times New Roman"/>
          <w:sz w:val="28"/>
          <w:szCs w:val="28"/>
          <w:lang w:eastAsia="ru-RU"/>
        </w:rPr>
        <w:t xml:space="preserve"> курсу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галузі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знань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22 «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Охорона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здоров'я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спеціальності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226 «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Фармація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промислова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фармація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освітня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програма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Технології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фармацевтичних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препаратів</w:t>
      </w:r>
      <w:proofErr w:type="spellEnd"/>
      <w:r w:rsidRPr="000E2A4C">
        <w:rPr>
          <w:rFonts w:ascii="Times New Roman" w:hAnsi="Times New Roman"/>
          <w:sz w:val="28"/>
          <w:szCs w:val="28"/>
          <w:lang w:eastAsia="ru-RU"/>
        </w:rPr>
        <w:t>»</w:t>
      </w:r>
    </w:p>
    <w:p w:rsidR="000E2A4C" w:rsidRPr="000E2A4C" w:rsidRDefault="000E2A4C" w:rsidP="000E2A4C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E2A4C">
        <w:rPr>
          <w:rFonts w:ascii="Times New Roman" w:hAnsi="Times New Roman"/>
          <w:sz w:val="28"/>
          <w:szCs w:val="28"/>
          <w:lang w:val="uk-UA" w:eastAsia="ru-RU"/>
        </w:rPr>
        <w:t>ТФП</w:t>
      </w:r>
      <w:r w:rsidRPr="000E2A4C">
        <w:rPr>
          <w:rFonts w:ascii="Times New Roman" w:hAnsi="Times New Roman"/>
          <w:sz w:val="28"/>
          <w:szCs w:val="28"/>
          <w:lang w:eastAsia="ru-RU"/>
        </w:rPr>
        <w:t>с1</w:t>
      </w:r>
      <w:r w:rsidRPr="000E2A4C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0E2A4C">
        <w:rPr>
          <w:rFonts w:ascii="Times New Roman" w:hAnsi="Times New Roman"/>
          <w:sz w:val="28"/>
          <w:szCs w:val="28"/>
          <w:lang w:eastAsia="ru-RU"/>
        </w:rPr>
        <w:t>(</w:t>
      </w:r>
      <w:r w:rsidRPr="000E2A4C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0E2A4C">
        <w:rPr>
          <w:rFonts w:ascii="Times New Roman" w:hAnsi="Times New Roman"/>
          <w:sz w:val="28"/>
          <w:szCs w:val="28"/>
          <w:lang w:eastAsia="ru-RU"/>
        </w:rPr>
        <w:t xml:space="preserve">,0д) </w:t>
      </w:r>
      <w:r w:rsidRPr="000E2A4C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E2A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A4C">
        <w:rPr>
          <w:rFonts w:ascii="Times New Roman" w:hAnsi="Times New Roman"/>
          <w:sz w:val="28"/>
          <w:szCs w:val="28"/>
          <w:lang w:eastAsia="ru-RU"/>
        </w:rPr>
        <w:t>груп</w:t>
      </w:r>
      <w:proofErr w:type="spellEnd"/>
      <w:r w:rsidRPr="000E2A4C">
        <w:rPr>
          <w:rFonts w:ascii="Times New Roman" w:hAnsi="Times New Roman"/>
          <w:sz w:val="28"/>
          <w:szCs w:val="28"/>
          <w:lang w:val="uk-UA" w:eastAsia="ru-RU"/>
        </w:rPr>
        <w:t>и</w:t>
      </w:r>
    </w:p>
    <w:p w:rsidR="00380E8F" w:rsidRPr="00672114" w:rsidRDefault="00380E8F" w:rsidP="00380E8F">
      <w:pPr>
        <w:pStyle w:val="a4"/>
        <w:spacing w:line="276" w:lineRule="auto"/>
        <w:rPr>
          <w:b w:val="0"/>
          <w:szCs w:val="28"/>
          <w:lang w:val="uk-UA"/>
        </w:rPr>
      </w:pPr>
    </w:p>
    <w:p w:rsidR="00380E8F" w:rsidRPr="00467FCB" w:rsidRDefault="000E2A4C" w:rsidP="00380E8F">
      <w:pPr>
        <w:jc w:val="both"/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</w:pPr>
      <w:bookmarkStart w:id="0" w:name="_GoBack"/>
      <w:r w:rsidRPr="00467FCB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28</w:t>
      </w:r>
      <w:r w:rsidR="003756CD" w:rsidRPr="00467FCB">
        <w:rPr>
          <w:rFonts w:ascii="Times New Roman" w:hAnsi="Times New Roman"/>
          <w:b/>
          <w:color w:val="FF0000"/>
          <w:sz w:val="28"/>
          <w:szCs w:val="28"/>
          <w:lang w:eastAsia="ru-RU"/>
        </w:rPr>
        <w:t>.0</w:t>
      </w:r>
      <w:r w:rsidRPr="00467FCB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5</w:t>
      </w:r>
      <w:r w:rsidRPr="00467FCB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.2020 – </w:t>
      </w:r>
      <w:proofErr w:type="spellStart"/>
      <w:r w:rsidRPr="00467FCB">
        <w:rPr>
          <w:rFonts w:ascii="Times New Roman" w:hAnsi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467FCB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67FCB"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  <w:t>1</w:t>
      </w:r>
    </w:p>
    <w:bookmarkEnd w:id="0"/>
    <w:p w:rsidR="000E2A4C" w:rsidRPr="000E2A4C" w:rsidRDefault="000E2A4C" w:rsidP="00380E8F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80E8F" w:rsidRDefault="000E2A4C" w:rsidP="00380E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Семінарське</w:t>
      </w:r>
      <w:r w:rsidR="00380E8F" w:rsidRPr="0098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380E8F" w:rsidRPr="009862F0">
        <w:rPr>
          <w:rFonts w:ascii="Times New Roman" w:hAnsi="Times New Roman"/>
          <w:b/>
          <w:sz w:val="28"/>
          <w:szCs w:val="28"/>
          <w:u w:val="single"/>
        </w:rPr>
        <w:t>заняття</w:t>
      </w:r>
      <w:proofErr w:type="spellEnd"/>
      <w:r w:rsidR="00380E8F" w:rsidRPr="00672114">
        <w:rPr>
          <w:rFonts w:ascii="Times New Roman" w:hAnsi="Times New Roman"/>
          <w:b/>
          <w:sz w:val="28"/>
          <w:szCs w:val="28"/>
        </w:rPr>
        <w:t>. Тема: «</w:t>
      </w:r>
      <w:proofErr w:type="spellStart"/>
      <w:r w:rsidR="00380E8F" w:rsidRPr="00380E8F">
        <w:rPr>
          <w:rFonts w:ascii="Times New Roman" w:hAnsi="Times New Roman"/>
          <w:sz w:val="28"/>
          <w:szCs w:val="28"/>
          <w:lang w:eastAsia="ru-RU"/>
        </w:rPr>
        <w:t>Підсумковий</w:t>
      </w:r>
      <w:proofErr w:type="spellEnd"/>
      <w:r w:rsidR="003756CD">
        <w:rPr>
          <w:rFonts w:ascii="Times New Roman" w:hAnsi="Times New Roman"/>
          <w:sz w:val="28"/>
          <w:szCs w:val="28"/>
          <w:lang w:eastAsia="ru-RU"/>
        </w:rPr>
        <w:t xml:space="preserve"> контроль </w:t>
      </w:r>
      <w:proofErr w:type="spellStart"/>
      <w:r w:rsidR="003756CD">
        <w:rPr>
          <w:rFonts w:ascii="Times New Roman" w:hAnsi="Times New Roman"/>
          <w:sz w:val="28"/>
          <w:szCs w:val="28"/>
          <w:lang w:eastAsia="ru-RU"/>
        </w:rPr>
        <w:t>засвоєння</w:t>
      </w:r>
      <w:proofErr w:type="spellEnd"/>
      <w:r w:rsidR="003756CD">
        <w:rPr>
          <w:rFonts w:ascii="Times New Roman" w:hAnsi="Times New Roman"/>
          <w:sz w:val="28"/>
          <w:szCs w:val="28"/>
          <w:lang w:eastAsia="ru-RU"/>
        </w:rPr>
        <w:t xml:space="preserve"> ЗМ </w:t>
      </w:r>
      <w:r w:rsidR="003756CD">
        <w:rPr>
          <w:rFonts w:ascii="Times New Roman" w:hAnsi="Times New Roman"/>
          <w:sz w:val="28"/>
          <w:szCs w:val="28"/>
          <w:lang w:val="uk-UA" w:eastAsia="ru-RU"/>
        </w:rPr>
        <w:t>2</w:t>
      </w:r>
      <w:r w:rsidR="00380E8F" w:rsidRPr="00672114">
        <w:rPr>
          <w:rFonts w:ascii="Times New Roman" w:hAnsi="Times New Roman"/>
          <w:b/>
          <w:sz w:val="28"/>
          <w:szCs w:val="28"/>
        </w:rPr>
        <w:t>»</w:t>
      </w:r>
    </w:p>
    <w:p w:rsidR="00380E8F" w:rsidRDefault="00380E8F" w:rsidP="00380E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0E8F" w:rsidRPr="008F2571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Контрольні</w:t>
      </w:r>
      <w:proofErr w:type="spellEnd"/>
      <w:r w:rsidRPr="008F25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запитання</w:t>
      </w:r>
      <w:proofErr w:type="spellEnd"/>
      <w:r w:rsidRPr="008F2571">
        <w:rPr>
          <w:rFonts w:ascii="Times New Roman" w:hAnsi="Times New Roman"/>
          <w:sz w:val="28"/>
          <w:szCs w:val="28"/>
        </w:rPr>
        <w:t xml:space="preserve">: </w:t>
      </w:r>
    </w:p>
    <w:p w:rsidR="00C729B7" w:rsidRPr="00380E8F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алергія. Механізм дії харчової алергії. Продукти харчування з високою, середньою та низькою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алергенністю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Елімінаційна дієта. Правила приготування їжі при харчовій алергії.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непереносимість. Види харчової непереносимості: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ензимопатія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фенілкетонурія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галактоземія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лактазна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недостатність,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целіакія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Непереносимість алкоголю.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Принципи дієтотерапії при алергії та харчовій непереносимості.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алергії та харчовій непереносимості.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Цукровий діабет. Причини розвитку діабету. Основні симптоми цукрового діабету. Діабетичний синдром.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Види цукрового діабету.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Основні показники, що визначають цукровий діабет.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Дієта показана при цукровому діабеті: хімічний склад та енергетична цінність добового раціону.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Глікемічний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 харчових продуктів. Харчові продукти з високим, середнім і низьким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глікемічним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індексом.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Прості та складні вуглеводи.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Хлібна одиниця.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Раціон харчування хворих з цукровим діабетом.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цукровому діабеті.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Езофагіт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Пептичні виразки стравоходу: причини, симптоми, лікування, рекомендації щодо їх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lastRenderedPageBreak/>
        <w:t xml:space="preserve">Гастрит типу В: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Гастрит типу А: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Рефлюкс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Жовчокам’яна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хвороба: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Гострий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Цироз печінки: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Виразкова хвороба шлунка: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ентероколіт: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Хвороба Боткіна: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Дисбактеріоз кишечнику: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холецистит: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Охарактеризуйте номерні дієти при гастриті типу В, гастриті типу А, дисбактеріозі кишечнику, гепатиті А,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шляхів, виразковій хворобі шлунка, цирозі печінки, хронічному панкреатиті, хронічному ентероколі</w:t>
      </w:r>
      <w:r>
        <w:rPr>
          <w:rFonts w:ascii="Times New Roman" w:hAnsi="Times New Roman"/>
          <w:sz w:val="28"/>
          <w:szCs w:val="28"/>
          <w:lang w:val="uk-UA"/>
        </w:rPr>
        <w:t>ті, жовч</w:t>
      </w:r>
      <w:r w:rsidRPr="00AA5EE5">
        <w:rPr>
          <w:rFonts w:ascii="Times New Roman" w:hAnsi="Times New Roman"/>
          <w:sz w:val="28"/>
          <w:szCs w:val="28"/>
          <w:lang w:val="uk-UA"/>
        </w:rPr>
        <w:t>нокам’яній хворобі, хронічному холециститі, гострому панкреатиті.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Стимулятори перистальтики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кишківника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, харчові речовини, які гальмують перистальтику кишечника.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шлунково-кишкового тра</w:t>
      </w:r>
      <w:r>
        <w:rPr>
          <w:rFonts w:ascii="Times New Roman" w:hAnsi="Times New Roman"/>
          <w:sz w:val="28"/>
          <w:szCs w:val="28"/>
          <w:lang w:val="uk-UA"/>
        </w:rPr>
        <w:t>кту.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Захворювання серцево-судинної системи: атеросклероз, гіпертонічна хвороба, хронічна серцева недостатність, ішемічна хвороба серця.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Атеросклероз: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lastRenderedPageBreak/>
        <w:t>Гіпертонічна хвороба: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Хронічна серцева недостатність: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Ішемічна хвороба серця: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Основні причини виникнення інфаркту міокарда.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серцево-судинної системи.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Захворювання сечовидільної системи: нефрит, сечокам’яна хвороба.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Нефрит: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Сечокам’яна хвороба: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Захворювання опорно-рухового апарату: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артрит, остеопороз, подагра.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Остеопороз: причини, симптоми, лікування.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>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Подагра: причини, симптоми, лікування.</w:t>
      </w:r>
    </w:p>
    <w:p w:rsidR="003756CD" w:rsidRPr="009303CC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сечовидільної системи та опорно-рухового апарату.</w:t>
      </w:r>
    </w:p>
    <w:p w:rsidR="003756CD" w:rsidRPr="00AA5EE5" w:rsidRDefault="003756CD" w:rsidP="003756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B2D" w:rsidRDefault="00222B2D"/>
    <w:p w:rsidR="00380E8F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Використана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</w:t>
      </w:r>
      <w:r w:rsidRPr="00425E53">
        <w:rPr>
          <w:rFonts w:ascii="Times New Roman" w:hAnsi="Times New Roman"/>
          <w:b/>
          <w:i/>
          <w:sz w:val="28"/>
          <w:szCs w:val="28"/>
        </w:rPr>
        <w:t>ітература</w:t>
      </w:r>
      <w:proofErr w:type="spellEnd"/>
      <w:r w:rsidRPr="00DD4E51">
        <w:rPr>
          <w:rFonts w:ascii="Times New Roman" w:hAnsi="Times New Roman"/>
          <w:sz w:val="28"/>
          <w:szCs w:val="28"/>
        </w:rPr>
        <w:t>: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Робочий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зошит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Н.В. Попова, О.М. Новосел, З.І. Омельченко, Н.Є. Бурда, А.І. Попик, Л.М. Горяча, Г.С. </w:t>
      </w:r>
      <w:proofErr w:type="spellStart"/>
      <w:r w:rsidRPr="00A93469">
        <w:rPr>
          <w:rFonts w:ascii="Times New Roman" w:hAnsi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Х.: Вид-во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>, 2020. – 77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Тексти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лекцій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93469">
        <w:rPr>
          <w:rFonts w:ascii="Times New Roman" w:hAnsi="Times New Roman"/>
          <w:sz w:val="28"/>
          <w:szCs w:val="28"/>
        </w:rPr>
        <w:t>Автори-укладачі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Попова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Ковальов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С.В., Казаков Г.П., </w:t>
      </w:r>
      <w:proofErr w:type="spellStart"/>
      <w:r w:rsidRPr="00A93469">
        <w:rPr>
          <w:rFonts w:ascii="Times New Roman" w:hAnsi="Times New Roman"/>
          <w:sz w:val="28"/>
          <w:szCs w:val="28"/>
        </w:rPr>
        <w:t>Алфьорова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Д.А., Степанова С.І., Скора І.В. – Х.: Вид-во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2018. </w:t>
      </w:r>
      <w:proofErr w:type="spellStart"/>
      <w:r w:rsidRPr="00A93469">
        <w:rPr>
          <w:rFonts w:ascii="Times New Roman" w:hAnsi="Times New Roman"/>
          <w:sz w:val="28"/>
          <w:szCs w:val="28"/>
        </w:rPr>
        <w:t>Стор</w:t>
      </w:r>
      <w:proofErr w:type="spellEnd"/>
      <w:r w:rsidRPr="00A93469">
        <w:rPr>
          <w:rFonts w:ascii="Times New Roman" w:hAnsi="Times New Roman"/>
          <w:sz w:val="28"/>
          <w:szCs w:val="28"/>
        </w:rPr>
        <w:t>. 126.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A93469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УІПА, 2012. – 371 с. 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Харків</w:t>
      </w:r>
      <w:proofErr w:type="spellEnd"/>
      <w:r w:rsidRPr="00A93469">
        <w:rPr>
          <w:rFonts w:ascii="Times New Roman" w:hAnsi="Times New Roman"/>
          <w:sz w:val="28"/>
          <w:szCs w:val="28"/>
        </w:rPr>
        <w:t>: УІПА, 2012. – 246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93469">
        <w:rPr>
          <w:rFonts w:ascii="Times New Roman" w:hAnsi="Times New Roman"/>
          <w:sz w:val="28"/>
          <w:szCs w:val="28"/>
        </w:rPr>
        <w:t xml:space="preserve">Общая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нутрициология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Учебное пособие /А.Н. </w:t>
      </w:r>
      <w:proofErr w:type="spellStart"/>
      <w:r w:rsidRPr="00A93469">
        <w:rPr>
          <w:rFonts w:ascii="Times New Roman" w:hAnsi="Times New Roman"/>
          <w:sz w:val="28"/>
          <w:szCs w:val="28"/>
        </w:rPr>
        <w:t>Мартинчик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A93469">
        <w:rPr>
          <w:rFonts w:ascii="Times New Roman" w:hAnsi="Times New Roman"/>
          <w:sz w:val="28"/>
          <w:szCs w:val="28"/>
        </w:rPr>
        <w:t>Маев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О.О. </w:t>
      </w:r>
      <w:proofErr w:type="spellStart"/>
      <w:r w:rsidRPr="00A93469">
        <w:rPr>
          <w:rFonts w:ascii="Times New Roman" w:hAnsi="Times New Roman"/>
          <w:sz w:val="28"/>
          <w:szCs w:val="28"/>
        </w:rPr>
        <w:t>Янушевич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93469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2005. - 392 с., </w:t>
      </w:r>
      <w:proofErr w:type="spellStart"/>
      <w:r w:rsidRPr="00A93469">
        <w:rPr>
          <w:rFonts w:ascii="Times New Roman" w:hAnsi="Times New Roman"/>
          <w:sz w:val="28"/>
          <w:szCs w:val="28"/>
        </w:rPr>
        <w:t>илл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Опорний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конспект.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ресурс] / </w:t>
      </w:r>
      <w:proofErr w:type="spellStart"/>
      <w:r w:rsidRPr="00A93469">
        <w:rPr>
          <w:rFonts w:ascii="Times New Roman" w:hAnsi="Times New Roman"/>
          <w:sz w:val="28"/>
          <w:szCs w:val="28"/>
        </w:rPr>
        <w:t>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Аксьонова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дані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– Х. : ХДУХТ, 2018. – 1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опт. диск (CD-ROM); 12 см.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Назва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тит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екрана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Default="00380E8F"/>
    <w:sectPr w:rsidR="00380E8F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4"/>
    <w:rsid w:val="00084CA0"/>
    <w:rsid w:val="000E2A4C"/>
    <w:rsid w:val="00222B2D"/>
    <w:rsid w:val="002C56FE"/>
    <w:rsid w:val="003756CD"/>
    <w:rsid w:val="00380E8F"/>
    <w:rsid w:val="00467FCB"/>
    <w:rsid w:val="007A1ABC"/>
    <w:rsid w:val="009676A4"/>
    <w:rsid w:val="00C729B7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C3ECE-1D9C-46D3-9489-E7DD3BFA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Катя</cp:lastModifiedBy>
  <cp:revision>6</cp:revision>
  <dcterms:created xsi:type="dcterms:W3CDTF">2020-05-04T11:48:00Z</dcterms:created>
  <dcterms:modified xsi:type="dcterms:W3CDTF">2020-05-04T19:53:00Z</dcterms:modified>
</cp:coreProperties>
</file>